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ED92F" w14:textId="77777777" w:rsidR="00A05C15" w:rsidRDefault="00865455">
      <w:pPr>
        <w:jc w:val="center"/>
        <w:rPr>
          <w:sz w:val="28"/>
          <w:szCs w:val="28"/>
        </w:rPr>
      </w:pPr>
      <w:r>
        <w:rPr>
          <w:sz w:val="28"/>
          <w:szCs w:val="28"/>
        </w:rPr>
        <w:t xml:space="preserve">MONITORAGGIO FINALE e RIESAME </w:t>
      </w:r>
    </w:p>
    <w:p w14:paraId="3E1E8EFB" w14:textId="77777777" w:rsidR="00A05C15" w:rsidRDefault="00865455">
      <w:pPr>
        <w:jc w:val="center"/>
        <w:rPr>
          <w:sz w:val="28"/>
          <w:szCs w:val="28"/>
        </w:rPr>
      </w:pPr>
      <w:r>
        <w:rPr>
          <w:sz w:val="28"/>
          <w:szCs w:val="28"/>
        </w:rPr>
        <w:t>DEL PIANO TRIENNALE 2023-2025</w:t>
      </w:r>
    </w:p>
    <w:p w14:paraId="356001C9" w14:textId="77777777" w:rsidR="00A05C15" w:rsidRDefault="00865455">
      <w:pPr>
        <w:jc w:val="center"/>
        <w:rPr>
          <w:sz w:val="28"/>
          <w:szCs w:val="28"/>
        </w:rPr>
      </w:pPr>
      <w:r>
        <w:rPr>
          <w:sz w:val="28"/>
          <w:szCs w:val="28"/>
        </w:rPr>
        <w:t xml:space="preserve"> DEL DIPARTIMENTO DI BIOTECNOLOGIE E BIOSCIENZE</w:t>
      </w:r>
    </w:p>
    <w:p w14:paraId="3F314440" w14:textId="77777777" w:rsidR="00A05C15" w:rsidRDefault="00A05C15">
      <w:pPr>
        <w:jc w:val="both"/>
        <w:rPr>
          <w:b/>
          <w:bCs/>
          <w:sz w:val="24"/>
          <w:szCs w:val="24"/>
        </w:rPr>
      </w:pPr>
    </w:p>
    <w:p w14:paraId="601428FC" w14:textId="77777777" w:rsidR="00A05C15" w:rsidRDefault="00865455">
      <w:pPr>
        <w:jc w:val="both"/>
        <w:rPr>
          <w:b/>
          <w:bCs/>
          <w:sz w:val="24"/>
          <w:szCs w:val="24"/>
        </w:rPr>
      </w:pPr>
      <w:r>
        <w:rPr>
          <w:b/>
          <w:bCs/>
          <w:sz w:val="24"/>
          <w:szCs w:val="24"/>
        </w:rPr>
        <w:t>Struttura Organizzativa del Dipartimento</w:t>
      </w:r>
    </w:p>
    <w:p w14:paraId="00752E4E" w14:textId="77777777" w:rsidR="00A05C15" w:rsidRDefault="00865455">
      <w:pPr>
        <w:jc w:val="both"/>
        <w:rPr>
          <w:i/>
          <w:iCs/>
          <w:sz w:val="24"/>
          <w:szCs w:val="24"/>
        </w:rPr>
      </w:pPr>
      <w:r>
        <w:rPr>
          <w:i/>
          <w:iCs/>
          <w:sz w:val="24"/>
          <w:szCs w:val="24"/>
        </w:rPr>
        <w:t>(in coerenza con il “Quadro B.1 Struttura organizzativa del Dipartimento” di Fatti e Persone)</w:t>
      </w:r>
    </w:p>
    <w:p w14:paraId="2A7E2940" w14:textId="77777777" w:rsidR="00A05C15" w:rsidRDefault="00865455">
      <w:pPr>
        <w:jc w:val="both"/>
      </w:pPr>
      <w:r>
        <w:t xml:space="preserve">Sezione 4 del PTD. Segnalare se sono intervenute modifiche rispetto a quanto indicato nel PTD. </w:t>
      </w:r>
    </w:p>
    <w:p w14:paraId="45013798" w14:textId="77777777" w:rsidR="00A05C15" w:rsidRDefault="00865455">
      <w:pPr>
        <w:spacing w:before="240" w:after="240"/>
        <w:jc w:val="both"/>
      </w:pPr>
      <w:r>
        <w:t>Rispetto a quanto delineato nel Piano Triennale di Dipartimento, nel periodo di riferimento sono intervenute modifiche rilevanti e migliorative nella dotazione infrastrutturale, nell’organizzazione delle piattaforme tecnologiche e nel rafforzamento del personale, sia tecnico sia docente.</w:t>
      </w:r>
    </w:p>
    <w:p w14:paraId="5ABEA22A" w14:textId="77777777" w:rsidR="00A05C15" w:rsidRDefault="00865455">
      <w:pPr>
        <w:spacing w:after="0"/>
        <w:jc w:val="both"/>
      </w:pPr>
      <w:r>
        <w:t xml:space="preserve">In particolare, il Dipartimento ha colmato alcune delle principali criticità infrastrutturali precedentemente identificate, dotandosi delle piattaforme e delle competenze necessarie per le analisi </w:t>
      </w:r>
      <w:proofErr w:type="spellStart"/>
      <w:r>
        <w:t>omiche</w:t>
      </w:r>
      <w:proofErr w:type="spellEnd"/>
      <w:r>
        <w:t xml:space="preserve"> avanzate e per il multiplex </w:t>
      </w:r>
      <w:proofErr w:type="spellStart"/>
      <w:r>
        <w:t>imaging</w:t>
      </w:r>
      <w:proofErr w:type="spellEnd"/>
      <w:r>
        <w:t>, sia a livello di singola cellula sia tissutale. Questo intervento rappresenta un significativo avanzamento rispetto alle carenze evidenziate nel PTD, consentendo al Dipartimento di allinearsi agli standard tecnologici richiesti dalla ricerca biomedica e biotecnologica di frontiera e di rafforzare la competitività dei gruppi di ricerca in ambito nazionale e internazionale.</w:t>
      </w:r>
    </w:p>
    <w:p w14:paraId="5E60029E" w14:textId="77777777" w:rsidR="00A05C15" w:rsidRDefault="00865455">
      <w:pPr>
        <w:spacing w:after="0"/>
        <w:jc w:val="both"/>
      </w:pPr>
      <w:r>
        <w:t xml:space="preserve">A questo si affianca la creazione, a livello dipartimentale, della più ampia collezione di insetti impollinatori, configurata come infrastruttura scientifica di riferimento e asset strategico in linea con le priorità delle politiche europee per la tutela della biodiversità e dei servizi </w:t>
      </w:r>
      <w:proofErr w:type="spellStart"/>
      <w:r>
        <w:t>ecosistemici</w:t>
      </w:r>
      <w:proofErr w:type="spellEnd"/>
      <w:r>
        <w:t xml:space="preserve">, inclusi gli obiettivi della EU </w:t>
      </w:r>
      <w:proofErr w:type="spellStart"/>
      <w:r>
        <w:t>Biodiversity</w:t>
      </w:r>
      <w:proofErr w:type="spellEnd"/>
      <w:r>
        <w:t xml:space="preserve"> </w:t>
      </w:r>
      <w:proofErr w:type="spellStart"/>
      <w:r>
        <w:t>Strategy</w:t>
      </w:r>
      <w:proofErr w:type="spellEnd"/>
      <w:r>
        <w:t xml:space="preserve"> 2030, di Horizon Europe e della Nature </w:t>
      </w:r>
      <w:proofErr w:type="spellStart"/>
      <w:r>
        <w:t>Restoration</w:t>
      </w:r>
      <w:proofErr w:type="spellEnd"/>
      <w:r>
        <w:t xml:space="preserve"> Law.</w:t>
      </w:r>
    </w:p>
    <w:p w14:paraId="24514DAD" w14:textId="77777777" w:rsidR="00A05C15" w:rsidRDefault="00865455">
      <w:pPr>
        <w:spacing w:before="240" w:after="240"/>
        <w:jc w:val="both"/>
      </w:pPr>
      <w:r>
        <w:t xml:space="preserve">Parallelamente, è stato realizzato un rafforzamento strutturale dell’organizzazione delle piattaforme LID, che sono ora dotate di responsabili scientifici e tecnici formalmente individuati, migliorando la </w:t>
      </w:r>
      <w:proofErr w:type="spellStart"/>
      <w:r>
        <w:t>governance</w:t>
      </w:r>
      <w:proofErr w:type="spellEnd"/>
      <w:r>
        <w:t xml:space="preserve"> delle infrastrutture, l’efficienza gestionale e la sostenibilità operativa delle attività sperimentali. Questo assetto favorisce una maggiore integrazione tra laboratori, una più efficace pianificazione dell’utilizzo delle strumentazioni e una migliore fruizione delle piattaforme da parte dell’intera comunità dipartimentale.</w:t>
      </w:r>
    </w:p>
    <w:p w14:paraId="5E1DBD5D" w14:textId="77777777" w:rsidR="00A05C15" w:rsidRDefault="00865455">
      <w:pPr>
        <w:spacing w:before="240" w:after="240"/>
        <w:jc w:val="both"/>
      </w:pPr>
      <w:r>
        <w:t>Un ulteriore elemento di rilievo riguarda le attività di Open Science e gestione dei dati della ricerca. In linea con quanto programmato nel PTD e con le politiche di Ateneo e dell’Unione Europea, il Dipartimento ha introdotto i quaderni di laboratorio elettronici, avviando un processo di digitalizzazione delle pratiche di documentazione sperimentale. Questa azione rappresenta un passo concreto verso il rafforzamento dei principi FAIR (</w:t>
      </w:r>
      <w:proofErr w:type="spellStart"/>
      <w:r>
        <w:t>Findable</w:t>
      </w:r>
      <w:proofErr w:type="spellEnd"/>
      <w:r>
        <w:t xml:space="preserve">, </w:t>
      </w:r>
      <w:proofErr w:type="spellStart"/>
      <w:r>
        <w:t>Accessible</w:t>
      </w:r>
      <w:proofErr w:type="spellEnd"/>
      <w:r>
        <w:t xml:space="preserve">, </w:t>
      </w:r>
      <w:proofErr w:type="spellStart"/>
      <w:r>
        <w:t>Interoperable</w:t>
      </w:r>
      <w:proofErr w:type="spellEnd"/>
      <w:r>
        <w:t xml:space="preserve">, </w:t>
      </w:r>
      <w:proofErr w:type="spellStart"/>
      <w:r>
        <w:t>R</w:t>
      </w:r>
      <w:bookmarkStart w:id="0" w:name="_GoBack"/>
      <w:bookmarkEnd w:id="0"/>
      <w:r>
        <w:t>eusable</w:t>
      </w:r>
      <w:proofErr w:type="spellEnd"/>
      <w:r>
        <w:t>), migliorando la qualità dell’archiviazione, la tracciabilità dei dati e le condizioni per il loro riutilizzo e trasferimento.</w:t>
      </w:r>
    </w:p>
    <w:p w14:paraId="35F6789F" w14:textId="4EF4F355" w:rsidR="00A05C15" w:rsidRDefault="00865455">
      <w:pPr>
        <w:spacing w:before="240" w:after="240"/>
        <w:jc w:val="both"/>
      </w:pPr>
      <w:r>
        <w:t>Il personale tecnico-amministrativo ha registrato un incremento significativo</w:t>
      </w:r>
      <w:r w:rsidR="00FA7762">
        <w:t xml:space="preserve"> (</w:t>
      </w:r>
      <w:r w:rsidR="008D49C0">
        <w:t>9</w:t>
      </w:r>
      <w:r w:rsidR="008D49C0">
        <w:t xml:space="preserve"> </w:t>
      </w:r>
      <w:r w:rsidR="00FA7762">
        <w:t>nuove unità</w:t>
      </w:r>
      <w:r w:rsidR="008D49C0">
        <w:t xml:space="preserve"> a tempo indeterminato e 2 unità a tempo determinato)</w:t>
      </w:r>
      <w:r>
        <w:t xml:space="preserve"> in linea con quanto programmato, permettendo di rispondere in modo più adeguato alle esigenze legate alla gestione delle piattaforme tecnologiche, al supporto ai laboratori e all’implementazione delle nuove infrastrutture di ricerca. Tale rafforzamento ha contribuito a migliorare la continuità operativa delle attività sperimentali e la qualità complessiva dei servizi offerti.</w:t>
      </w:r>
    </w:p>
    <w:p w14:paraId="4B7E2B73" w14:textId="77777777" w:rsidR="00A05C15" w:rsidRDefault="00865455">
      <w:pPr>
        <w:spacing w:before="240" w:after="240"/>
        <w:jc w:val="both"/>
      </w:pPr>
      <w:r>
        <w:t xml:space="preserve">Per quanto riguarda il personale docente, sono stati effettuati reclutamenti mirati negli ambiti strategici precedentemente identificati come carenti, in particolare nella biologia cellulare e molecolare quantitativa, nella microbiologia e nell’ecologia. Questi inserimenti hanno rafforzato competenze chiave per il </w:t>
      </w:r>
      <w:r>
        <w:lastRenderedPageBreak/>
        <w:t>Dipartimento, con ricadute positive sia sulla qualità della ricerca sia sull’offerta formativa, contribuendo al consolidamento delle linee scientifiche prioritarie.</w:t>
      </w:r>
    </w:p>
    <w:p w14:paraId="4255C3C1" w14:textId="77777777" w:rsidR="00A05C15" w:rsidRDefault="00865455">
      <w:pPr>
        <w:spacing w:before="240" w:after="240"/>
        <w:jc w:val="both"/>
      </w:pPr>
      <w:r>
        <w:t>Permangono invece, come già indicato nel PTD, alcune criticità legate all’obsolescenza di parte della strumentazione di base (cappe a flusso laminare, centrifughe, incubatori e alcune piattaforme strumentali interdipartimentali), che non è stato possibile affrontare integralmente con le risorse disponibili. Tali criticità restano oggetto di attenzione e il Dipartimento continua a perseguire strategie di reperimento di fondi dedicati attraverso bandi competitivi e azioni di programmazione mirata.</w:t>
      </w:r>
    </w:p>
    <w:p w14:paraId="6F4388F2" w14:textId="77777777" w:rsidR="00A05C15" w:rsidRPr="00434DB9" w:rsidRDefault="00865455" w:rsidP="00434DB9">
      <w:pPr>
        <w:spacing w:before="240" w:after="240"/>
        <w:jc w:val="both"/>
      </w:pPr>
      <w:r>
        <w:t>Nel complesso, le modifiche intervenute rispetto al PTD delineano una evoluzione positiva e coerente della struttura organizzativa del Dipartimento, caratterizzata da un rafforzamento delle infrastrutture di ricerca avanzata, da una maggiore strutturazione delle piattaforme tecnologiche e da un significativo potenziamento delle risorse umane, ponendo basi solide per lo sviluppo futuro delle attività scientifiche e di terza missione.</w:t>
      </w:r>
    </w:p>
    <w:p w14:paraId="0CE990D9" w14:textId="77777777" w:rsidR="00A05C15" w:rsidRDefault="00865455">
      <w:pPr>
        <w:jc w:val="both"/>
        <w:rPr>
          <w:b/>
          <w:bCs/>
          <w:sz w:val="24"/>
          <w:szCs w:val="24"/>
        </w:rPr>
      </w:pPr>
      <w:r>
        <w:rPr>
          <w:b/>
          <w:bCs/>
          <w:sz w:val="24"/>
          <w:szCs w:val="24"/>
        </w:rPr>
        <w:t>Politica per l’assicurazione di Qualità del Dipartimento</w:t>
      </w:r>
    </w:p>
    <w:p w14:paraId="77667BB7" w14:textId="77777777" w:rsidR="00A05C15" w:rsidRDefault="00865455">
      <w:pPr>
        <w:jc w:val="both"/>
        <w:rPr>
          <w:i/>
          <w:iCs/>
          <w:sz w:val="24"/>
          <w:szCs w:val="24"/>
        </w:rPr>
      </w:pPr>
      <w:r>
        <w:rPr>
          <w:i/>
          <w:iCs/>
          <w:sz w:val="24"/>
          <w:szCs w:val="24"/>
        </w:rPr>
        <w:t>(in coerenza con il “Quadro B.2 Politica per l'assicurazione di qualità del Dipartimento” di Fatti e Persone)</w:t>
      </w:r>
    </w:p>
    <w:p w14:paraId="31A52619" w14:textId="77777777" w:rsidR="00A05C15" w:rsidRDefault="00865455">
      <w:pPr>
        <w:jc w:val="both"/>
      </w:pPr>
      <w:r>
        <w:t>Sezione 1.1 del PTD. Segnalare se sono intervenute modifiche rispetto a quanto indicato nel PTD.</w:t>
      </w:r>
    </w:p>
    <w:p w14:paraId="27B3686C" w14:textId="77777777" w:rsidR="00A05C15" w:rsidRDefault="00865455">
      <w:pPr>
        <w:spacing w:before="240" w:after="240"/>
        <w:jc w:val="both"/>
      </w:pPr>
      <w:r>
        <w:t xml:space="preserve">Il funzionamento del Sistema di Assicurazione della Qualità (AQ) di Ateneo in relazione alla Ricerca e alla Terza Missione/Impatto Sociale costituisce il quadro di riferimento per le attività di monitoraggio e valutazione del Dipartimento. Rispetto all’assetto precedentemente descritto, è </w:t>
      </w:r>
      <w:proofErr w:type="spellStart"/>
      <w:r>
        <w:t>stato</w:t>
      </w:r>
      <w:proofErr w:type="spellEnd"/>
      <w:r>
        <w:t xml:space="preserve"> introdotta una modifica</w:t>
      </w:r>
      <w:r>
        <w:rPr>
          <w:b/>
          <w:bCs/>
        </w:rPr>
        <w:t xml:space="preserve"> </w:t>
      </w:r>
      <w:r>
        <w:t xml:space="preserve">che consiste nel rafforzamento e nella maggiore articolazione del sistema AQ, attraverso l’istituzione di un </w:t>
      </w:r>
      <w:r>
        <w:rPr>
          <w:b/>
          <w:bCs/>
        </w:rPr>
        <w:t>Gruppo dedicato all’Assicurazione della Qualità della Terza Missione/Impatto Sociale</w:t>
      </w:r>
      <w:r>
        <w:t xml:space="preserve"> e di una </w:t>
      </w:r>
      <w:r>
        <w:rPr>
          <w:b/>
          <w:bCs/>
        </w:rPr>
        <w:t>Commissione per la Terza Missione</w:t>
      </w:r>
      <w:r>
        <w:t xml:space="preserve"> e di un gruppo AQ del Corso di Dottorato di Ricerca</w:t>
      </w:r>
      <w:r>
        <w:rPr>
          <w:rFonts w:ascii="Roboto" w:eastAsia="Roboto" w:hAnsi="Roboto" w:cs="Roboto"/>
          <w:sz w:val="21"/>
          <w:szCs w:val="21"/>
        </w:rPr>
        <w:t>,</w:t>
      </w:r>
      <w:r>
        <w:rPr>
          <w:rFonts w:ascii="Roboto" w:eastAsia="Roboto" w:hAnsi="Roboto" w:cs="Roboto"/>
          <w:color w:val="444746"/>
          <w:sz w:val="21"/>
          <w:szCs w:val="21"/>
        </w:rPr>
        <w:t xml:space="preserve"> </w:t>
      </w:r>
      <w:r>
        <w:t>in aggiunta al Gruppo AQ della Ricerca già esistente.</w:t>
      </w:r>
    </w:p>
    <w:p w14:paraId="28B9BAD2" w14:textId="77777777" w:rsidR="00A05C15" w:rsidRDefault="00865455">
      <w:pPr>
        <w:spacing w:before="240" w:after="240"/>
        <w:jc w:val="both"/>
      </w:pPr>
      <w:r>
        <w:t xml:space="preserve">Presso il Dipartimento, quindi, operano attualmente il </w:t>
      </w:r>
      <w:r>
        <w:rPr>
          <w:b/>
          <w:bCs/>
        </w:rPr>
        <w:t>Gruppo per l’Assicurazione della Qualità della Ricerca</w:t>
      </w:r>
      <w:r>
        <w:t xml:space="preserve"> e il </w:t>
      </w:r>
      <w:r>
        <w:rPr>
          <w:b/>
          <w:bCs/>
        </w:rPr>
        <w:t>Gruppo per l’Assicurazione della Qualità della Terza Missione/Impatto Sociale</w:t>
      </w:r>
      <w:r>
        <w:t>, composti da docenti e ricercatori afferenti al Dipartimento, ai quali sono attribuiti compiti di vigilanza, promozione della politica della qualità, individuazione delle azioni correttive e verifica della loro attuazione.</w:t>
      </w:r>
    </w:p>
    <w:p w14:paraId="7840DDFB" w14:textId="77777777" w:rsidR="00A05C15" w:rsidRDefault="00865455">
      <w:pPr>
        <w:spacing w:before="240" w:after="240"/>
        <w:jc w:val="both"/>
      </w:pPr>
      <w:r>
        <w:t xml:space="preserve">Il </w:t>
      </w:r>
      <w:r>
        <w:rPr>
          <w:b/>
          <w:bCs/>
        </w:rPr>
        <w:t>Gruppo AQ della Ricerca</w:t>
      </w:r>
      <w:r>
        <w:t>:</w:t>
      </w:r>
    </w:p>
    <w:p w14:paraId="6B90E243" w14:textId="77777777" w:rsidR="00A05C15" w:rsidRDefault="00865455">
      <w:pPr>
        <w:numPr>
          <w:ilvl w:val="0"/>
          <w:numId w:val="1"/>
        </w:numPr>
        <w:spacing w:after="0"/>
        <w:jc w:val="both"/>
      </w:pPr>
      <w:r>
        <w:t>predispone annualmente la scheda SUA-RD di Ateneo tramite il portale “Fatti e Persone”;</w:t>
      </w:r>
    </w:p>
    <w:p w14:paraId="30451CC0" w14:textId="77777777" w:rsidR="00A05C15" w:rsidRDefault="00865455">
      <w:pPr>
        <w:numPr>
          <w:ilvl w:val="0"/>
          <w:numId w:val="1"/>
        </w:numPr>
        <w:spacing w:after="0"/>
        <w:jc w:val="both"/>
      </w:pPr>
      <w:r>
        <w:t>coadiuva il Direttore nella preparazione del Documento di Programmazione Triennale;</w:t>
      </w:r>
    </w:p>
    <w:p w14:paraId="666CC7B1" w14:textId="77777777" w:rsidR="00A05C15" w:rsidRDefault="00865455">
      <w:pPr>
        <w:numPr>
          <w:ilvl w:val="0"/>
          <w:numId w:val="1"/>
        </w:numPr>
        <w:spacing w:after="0"/>
        <w:jc w:val="both"/>
      </w:pPr>
      <w:r>
        <w:t>provvede, sulla base di criteri definiti, alla ripartizione del Fondo di Ateneo – Quota Dipartimentale tra i professori e i ricercatori afferenti al Dipartimento;</w:t>
      </w:r>
    </w:p>
    <w:p w14:paraId="7635B840" w14:textId="77777777" w:rsidR="00A05C15" w:rsidRDefault="00865455">
      <w:pPr>
        <w:numPr>
          <w:ilvl w:val="0"/>
          <w:numId w:val="1"/>
        </w:numPr>
        <w:spacing w:after="0"/>
        <w:jc w:val="both"/>
      </w:pPr>
      <w:r>
        <w:t xml:space="preserve">effettua un monitoraggio continuo della produttività scientifica e dell’impatto delle attività di ricerca delle aree disciplinari, anche attraverso l’elaborazione di indicatori </w:t>
      </w:r>
      <w:proofErr w:type="spellStart"/>
      <w:r>
        <w:t>bibliometrici</w:t>
      </w:r>
      <w:proofErr w:type="spellEnd"/>
      <w:r>
        <w:t>;</w:t>
      </w:r>
    </w:p>
    <w:p w14:paraId="05EA5F1F" w14:textId="77777777" w:rsidR="00033CAC" w:rsidRDefault="00865455" w:rsidP="00434DB9">
      <w:pPr>
        <w:numPr>
          <w:ilvl w:val="0"/>
          <w:numId w:val="1"/>
        </w:numPr>
        <w:spacing w:after="0"/>
        <w:jc w:val="both"/>
      </w:pPr>
      <w:r>
        <w:t xml:space="preserve">verifica l’attività scientifica degli assegnisti di ricerca, valutandone la produzione mediante approcci </w:t>
      </w:r>
      <w:proofErr w:type="spellStart"/>
      <w:r>
        <w:t>bibliometrici</w:t>
      </w:r>
      <w:proofErr w:type="spellEnd"/>
      <w:r>
        <w:t>.</w:t>
      </w:r>
      <w:r>
        <w:br/>
      </w:r>
    </w:p>
    <w:p w14:paraId="0B4FE315" w14:textId="77777777" w:rsidR="00A05C15" w:rsidRDefault="00865455">
      <w:pPr>
        <w:spacing w:before="240" w:after="240"/>
        <w:jc w:val="both"/>
      </w:pPr>
      <w:r>
        <w:t xml:space="preserve">Il </w:t>
      </w:r>
      <w:r>
        <w:rPr>
          <w:b/>
          <w:bCs/>
        </w:rPr>
        <w:t>Gruppo AQ della Terza Missione/Impatto Sociale</w:t>
      </w:r>
      <w:r>
        <w:t>:</w:t>
      </w:r>
    </w:p>
    <w:p w14:paraId="12C766A9" w14:textId="77777777" w:rsidR="00A05C15" w:rsidRDefault="00865455">
      <w:pPr>
        <w:numPr>
          <w:ilvl w:val="0"/>
          <w:numId w:val="2"/>
        </w:numPr>
        <w:spacing w:before="240" w:after="0"/>
        <w:jc w:val="both"/>
      </w:pPr>
      <w:r>
        <w:t>predispone annualmente la scheda SUA-TM/IS di Ateneo;</w:t>
      </w:r>
    </w:p>
    <w:p w14:paraId="06BA268F" w14:textId="77777777" w:rsidR="00A05C15" w:rsidRDefault="00865455">
      <w:pPr>
        <w:numPr>
          <w:ilvl w:val="0"/>
          <w:numId w:val="2"/>
        </w:numPr>
        <w:spacing w:after="0"/>
        <w:jc w:val="both"/>
      </w:pPr>
      <w:r>
        <w:t>coadiuva il Direttore nella preparazione del Documento di Programmazione Triennale per gli aspetti relativi alla terza missione;</w:t>
      </w:r>
    </w:p>
    <w:p w14:paraId="2E65E22A" w14:textId="77777777" w:rsidR="00A05C15" w:rsidRDefault="00865455">
      <w:pPr>
        <w:numPr>
          <w:ilvl w:val="0"/>
          <w:numId w:val="2"/>
        </w:numPr>
        <w:spacing w:after="0"/>
        <w:jc w:val="both"/>
      </w:pPr>
      <w:r>
        <w:t>verifica l’efficacia delle attività di formazione e orientamento rivolte a studenti delle scuole superiori, docenti e professionisti, monitorando il numero di iniziative realizzate, i crediti formativi erogati e le persone coinvolte;</w:t>
      </w:r>
    </w:p>
    <w:p w14:paraId="15A2312A" w14:textId="77777777" w:rsidR="00A05C15" w:rsidRDefault="00865455">
      <w:pPr>
        <w:numPr>
          <w:ilvl w:val="0"/>
          <w:numId w:val="2"/>
        </w:numPr>
        <w:spacing w:after="0"/>
        <w:jc w:val="both"/>
      </w:pPr>
      <w:r>
        <w:t>monitora l’impatto dei servizi a tariffario e delle attività di consulenza di alto profilo, valutando l’andamento del numero di prestazioni e del relativo ammontare economico;</w:t>
      </w:r>
    </w:p>
    <w:p w14:paraId="0A44CBD0" w14:textId="77777777" w:rsidR="00FA7762" w:rsidRDefault="00865455" w:rsidP="00FA7762">
      <w:pPr>
        <w:numPr>
          <w:ilvl w:val="0"/>
          <w:numId w:val="2"/>
        </w:numPr>
        <w:spacing w:after="240"/>
        <w:jc w:val="both"/>
      </w:pPr>
      <w:r>
        <w:t xml:space="preserve">valuta l’impatto e il successo delle attività di Public Engagement, delle attività conto terzi e della ricerca </w:t>
      </w:r>
      <w:proofErr w:type="spellStart"/>
      <w:r>
        <w:t>pre</w:t>
      </w:r>
      <w:proofErr w:type="spellEnd"/>
      <w:r>
        <w:t>-industriale, anche attraverso indicatori indiretti quali l’andamento delle iscrizioni ai Corsi di Studio e il rafforzamento delle collaborazioni con imprese ed enti esterni.</w:t>
      </w:r>
    </w:p>
    <w:p w14:paraId="0C4B9CD8" w14:textId="77777777" w:rsidR="00FA7762" w:rsidRDefault="00FA7762" w:rsidP="00FA7762">
      <w:pPr>
        <w:spacing w:after="0"/>
        <w:jc w:val="both"/>
      </w:pPr>
      <w:r>
        <w:t xml:space="preserve">La </w:t>
      </w:r>
      <w:r w:rsidRPr="00FA7762">
        <w:rPr>
          <w:b/>
          <w:bCs/>
        </w:rPr>
        <w:t>Commissione per la Terza Missione</w:t>
      </w:r>
      <w:r>
        <w:t xml:space="preserve"> opera in coordinamento con il Gruppo AQ della Terza Missione/Impatto Sociale e svolge una funzione di supporto strategico e operativo, favorendo l’integrazione tra public engagement, trasferimento tecnologico, ricerca </w:t>
      </w:r>
      <w:proofErr w:type="spellStart"/>
      <w:r>
        <w:t>pre</w:t>
      </w:r>
      <w:proofErr w:type="spellEnd"/>
      <w:r>
        <w:t>-industriale e rapporti con il territorio, contribuendo alla programmazione delle attività e alla diffusione di buone pratiche all’interno del Dipartimento.</w:t>
      </w:r>
    </w:p>
    <w:p w14:paraId="4BCCB960" w14:textId="77777777" w:rsidR="00FA7762" w:rsidRDefault="00FA7762" w:rsidP="00FA7762">
      <w:pPr>
        <w:spacing w:after="240"/>
        <w:ind w:left="360"/>
        <w:jc w:val="both"/>
      </w:pPr>
    </w:p>
    <w:p w14:paraId="07F0667B" w14:textId="77777777" w:rsidR="00A05C15" w:rsidRDefault="00865455">
      <w:pPr>
        <w:spacing w:before="240" w:after="240"/>
        <w:jc w:val="both"/>
      </w:pPr>
      <w:r>
        <w:rPr>
          <w:b/>
          <w:bCs/>
        </w:rPr>
        <w:t>Il Gruppo AQ del Corso di Dottorato</w:t>
      </w:r>
      <w:r>
        <w:t>:</w:t>
      </w:r>
    </w:p>
    <w:p w14:paraId="2C981E8D" w14:textId="77777777" w:rsidR="00A05C15" w:rsidRDefault="00865455">
      <w:pPr>
        <w:numPr>
          <w:ilvl w:val="0"/>
          <w:numId w:val="4"/>
        </w:numPr>
        <w:spacing w:before="240" w:after="0"/>
        <w:jc w:val="both"/>
      </w:pPr>
      <w:r>
        <w:t>Monitora la qualità del Corso di Dottorato interagendo con la coorte dottorale, il Collegio Docenti e le Parti Interessate per aggiornare annualmente il progetto formativo del Corso in fase di rinnovo o accreditamento.</w:t>
      </w:r>
    </w:p>
    <w:p w14:paraId="62D8E4F5" w14:textId="77777777" w:rsidR="00A05C15" w:rsidRDefault="00865455">
      <w:pPr>
        <w:numPr>
          <w:ilvl w:val="0"/>
          <w:numId w:val="4"/>
        </w:numPr>
        <w:spacing w:after="0"/>
        <w:jc w:val="both"/>
      </w:pPr>
      <w:r>
        <w:t>Predispone annualmente il documento di "Pianificazione e organizzazione delle attività formative e di ricerca" e il documento di "relazione annuale". Ogni tre anni predispone il documento di "Riesame ciclico" del Corso di Dottorato.</w:t>
      </w:r>
    </w:p>
    <w:p w14:paraId="35D46DC3" w14:textId="77777777" w:rsidR="00A05C15" w:rsidRDefault="00865455">
      <w:pPr>
        <w:numPr>
          <w:ilvl w:val="0"/>
          <w:numId w:val="4"/>
        </w:numPr>
        <w:spacing w:after="0"/>
        <w:jc w:val="both"/>
      </w:pPr>
      <w:r>
        <w:t xml:space="preserve">Si occupa dell'analisi delle opinioni dei/delle dottorandi/e </w:t>
      </w:r>
      <w:proofErr w:type="spellStart"/>
      <w:r>
        <w:t>e</w:t>
      </w:r>
      <w:proofErr w:type="spellEnd"/>
      <w:r>
        <w:t xml:space="preserve"> dottori/dottoresse di ricerca raccolte annualmente da ANVUR e AlmaLaurea tramite questionari o confronti collegiali. Identifica punti di forza e di debolezza, strategie di miglioramento e monitora gli esiti di tali strategie.</w:t>
      </w:r>
    </w:p>
    <w:p w14:paraId="318394C1" w14:textId="77777777" w:rsidR="00A05C15" w:rsidRDefault="00865455">
      <w:pPr>
        <w:numPr>
          <w:ilvl w:val="0"/>
          <w:numId w:val="4"/>
        </w:numPr>
        <w:spacing w:after="240"/>
        <w:jc w:val="both"/>
      </w:pPr>
      <w:r>
        <w:t>Monitora l'andamento degli indicatori KPI forniti da ANVUR relativamente alla qualità del corso di dottorato e introduce soluzioni di miglioramento, verificandone l'efficacia.</w:t>
      </w:r>
    </w:p>
    <w:p w14:paraId="189D3BF3" w14:textId="77777777" w:rsidR="00A05C15" w:rsidRDefault="00865455">
      <w:pPr>
        <w:spacing w:after="0"/>
        <w:jc w:val="both"/>
      </w:pPr>
      <w:r>
        <w:t>Nel complesso, lo scostamento introdotto rispetto all’assetto precedente rappresenta</w:t>
      </w:r>
      <w:r>
        <w:rPr>
          <w:b/>
          <w:bCs/>
        </w:rPr>
        <w:t xml:space="preserve"> </w:t>
      </w:r>
      <w:r>
        <w:t>un rafforzamento strutturale del Sistema di Assicurazione della Qualità, pienamente coerente con il modello di Ateneo e orientato a garantire un monitoraggio più efficace e specializzato delle attività di Ricerca e di Terza Missione/Impatto Sociale.</w:t>
      </w:r>
    </w:p>
    <w:p w14:paraId="6311A7F3" w14:textId="77777777" w:rsidR="00A05C15" w:rsidRDefault="00A05C15">
      <w:pPr>
        <w:jc w:val="both"/>
        <w:rPr>
          <w:b/>
          <w:bCs/>
          <w:sz w:val="24"/>
          <w:szCs w:val="24"/>
        </w:rPr>
      </w:pPr>
    </w:p>
    <w:p w14:paraId="37650AD7" w14:textId="77777777" w:rsidR="00A05C15" w:rsidRDefault="00865455">
      <w:pPr>
        <w:numPr>
          <w:ilvl w:val="0"/>
          <w:numId w:val="3"/>
        </w:numPr>
        <w:pBdr>
          <w:top w:val="nil"/>
          <w:left w:val="nil"/>
          <w:bottom w:val="nil"/>
          <w:right w:val="nil"/>
          <w:between w:val="nil"/>
        </w:pBdr>
        <w:jc w:val="both"/>
        <w:rPr>
          <w:b/>
          <w:bCs/>
          <w:color w:val="000000"/>
          <w:sz w:val="24"/>
          <w:szCs w:val="24"/>
        </w:rPr>
      </w:pPr>
      <w:bookmarkStart w:id="1" w:name="_heading=h.30j0zll" w:colFirst="0" w:colLast="0"/>
      <w:bookmarkEnd w:id="1"/>
      <w:r>
        <w:rPr>
          <w:b/>
          <w:bCs/>
          <w:color w:val="000000"/>
          <w:sz w:val="24"/>
          <w:szCs w:val="24"/>
        </w:rPr>
        <w:t>Monitoraggio finale degli obiettivi previsti nel Piano Triennale Dipartimentale (PTD)</w:t>
      </w:r>
    </w:p>
    <w:p w14:paraId="3A5DB3B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Azione 1: Promozione della didattica blended e-learning nei CdS triennali afferenti al Dipartimento</w:t>
      </w:r>
    </w:p>
    <w:p w14:paraId="37C47CFA"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Ambito:</w:t>
      </w:r>
      <w:r>
        <w:rPr>
          <w:i/>
          <w:iCs/>
        </w:rPr>
        <w:t xml:space="preserve"> </w:t>
      </w:r>
      <w:r>
        <w:t>Didattica</w:t>
      </w:r>
    </w:p>
    <w:p w14:paraId="07FB4237"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Obiettivo</w:t>
      </w:r>
      <w:r>
        <w:t>: Didattica innovativa</w:t>
      </w:r>
    </w:p>
    <w:p w14:paraId="4D27DEB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Collegamento con PSA:</w:t>
      </w:r>
      <w:r>
        <w:t xml:space="preserve"> Obiettivo 1.1 del Piano Strategico di Ateneo ("Didattica Innovativa").</w:t>
      </w:r>
      <w:r>
        <w:br/>
        <w:t xml:space="preserve"> Indicatori alternativi: È utilizzato un indicatore dipartimentale (2% di ore e-activity nel triennio), coerente con le linee guida del PSA, ma più aderente alle specificità del Dipartimento.</w:t>
      </w:r>
    </w:p>
    <w:p w14:paraId="0D980F2A"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p>
    <w:p w14:paraId="1D8A7B54"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Descrizione: </w:t>
      </w:r>
      <w:r>
        <w:t>Nel 2024, i Corsi di Laurea afferenti al Dipartimento hanno avviato un processo di revisione con l’obiettivo di offrire agli studenti una didattica sempre più interattiva e partecipativa, attenta all’eterogeneità della popolazione studentesca, che include un numero sempre maggiore di studenti con necessità specifiche. A tal fine, si era ipotizzato di sfruttare le potenzialità offerte dalla didattica blended e-learning. Tuttavia, non sono stati recentemente emanati bandi di Ateneo specifici a riguardo (l’ultimo risale all’offerta formativa 2021–2022).</w:t>
      </w:r>
    </w:p>
    <w:p w14:paraId="64A9FA6A"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In linea con quanto previsto nel Piano Triennale Dipartimentale, l’obiettivo di migliorare la didattica innovativa e l'interattività viene perseguito attraverso l’introduzione graduale, all’interno degli insegnamenti tradizionali (almeno 2 per CdS), di ore dedicate alle e-activity: attività che spaziano da semplici esercitazioni individuali fino ad attività collettive più complesse con l’utilizzo di strumenti digitali.</w:t>
      </w:r>
    </w:p>
    <w:p w14:paraId="67F8977C"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p>
    <w:p w14:paraId="46D86E3A"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Per i Corsi di Laurea in Biotecnologie e in Scienze Biologiche, alcuni insegnamenti prevedono l’utilizzo di esercitazioni individuali e di gruppo, nonché l’analisi di casi studio e live forum, anche mediante strumenti digitali volti a favorire il coinvolgimento attivo dello studente, come ad esempio </w:t>
      </w:r>
      <w:proofErr w:type="spellStart"/>
      <w:r>
        <w:t>Kahoot</w:t>
      </w:r>
      <w:proofErr w:type="spellEnd"/>
      <w:r>
        <w:t xml:space="preserve"> e </w:t>
      </w:r>
      <w:proofErr w:type="spellStart"/>
      <w:r>
        <w:t>Mentimeter</w:t>
      </w:r>
      <w:proofErr w:type="spellEnd"/>
      <w:r>
        <w:t>.</w:t>
      </w:r>
    </w:p>
    <w:p w14:paraId="78097C69" w14:textId="73F6599C" w:rsidR="00033CFF" w:rsidRDefault="00D157E0" w:rsidP="00D25F46">
      <w:pPr>
        <w:pBdr>
          <w:top w:val="single" w:sz="6" w:space="0" w:color="000000"/>
          <w:left w:val="single" w:sz="6" w:space="0" w:color="000000"/>
          <w:bottom w:val="single" w:sz="6" w:space="0" w:color="000000"/>
          <w:right w:val="single" w:sz="6" w:space="0" w:color="000000"/>
        </w:pBdr>
        <w:spacing w:after="0" w:line="276" w:lineRule="auto"/>
        <w:jc w:val="both"/>
      </w:pPr>
      <w:r>
        <w:t xml:space="preserve">Tali attività </w:t>
      </w:r>
      <w:r w:rsidR="00033CFF">
        <w:t xml:space="preserve">vengono </w:t>
      </w:r>
      <w:r>
        <w:t>monitorate</w:t>
      </w:r>
      <w:r w:rsidR="00D25F46">
        <w:t xml:space="preserve"> da</w:t>
      </w:r>
      <w:r w:rsidR="001C1314">
        <w:t xml:space="preserve">i </w:t>
      </w:r>
      <w:r w:rsidR="00D25F46">
        <w:t>President</w:t>
      </w:r>
      <w:r w:rsidR="001C1314">
        <w:t>i</w:t>
      </w:r>
      <w:r w:rsidR="00D25F46">
        <w:t xml:space="preserve"> di CCD</w:t>
      </w:r>
      <w:r>
        <w:t xml:space="preserve"> attraverso </w:t>
      </w:r>
      <w:r w:rsidR="00FA1581">
        <w:t xml:space="preserve">richieste di comunicazione da parte dei Docenti </w:t>
      </w:r>
      <w:r w:rsidR="00D25F46">
        <w:t>e</w:t>
      </w:r>
      <w:r w:rsidR="00033CFF" w:rsidRPr="00033CFF">
        <w:t xml:space="preserve"> vengono da questi ultimi comunicate agli studenti</w:t>
      </w:r>
      <w:r w:rsidR="00D25F46">
        <w:t xml:space="preserve"> durante le lezioni</w:t>
      </w:r>
      <w:r w:rsidR="00033CFF" w:rsidRPr="00033CFF">
        <w:t>.</w:t>
      </w:r>
    </w:p>
    <w:p w14:paraId="1EF6C414" w14:textId="77777777" w:rsidR="00033CFF" w:rsidRDefault="00033CFF">
      <w:pPr>
        <w:pBdr>
          <w:top w:val="single" w:sz="6" w:space="0" w:color="000000"/>
          <w:left w:val="single" w:sz="6" w:space="0" w:color="000000"/>
          <w:bottom w:val="single" w:sz="6" w:space="0" w:color="000000"/>
          <w:right w:val="single" w:sz="6" w:space="0" w:color="000000"/>
        </w:pBdr>
        <w:spacing w:after="0" w:line="276" w:lineRule="auto"/>
        <w:jc w:val="both"/>
      </w:pPr>
    </w:p>
    <w:p w14:paraId="7BCCF78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Tra questi insegnamenti si segnalano, per il Corso di Laurea in Biotecnologie, “Fondamenti di Bioinformatica e Biostatistica”, “Fermentazioni e </w:t>
      </w:r>
      <w:proofErr w:type="spellStart"/>
      <w:r>
        <w:t>Bioprocessi</w:t>
      </w:r>
      <w:proofErr w:type="spellEnd"/>
      <w:r>
        <w:t xml:space="preserve"> Microbici”, “Processi Biotecnologici e Bioraffinerie</w:t>
      </w:r>
      <w:proofErr w:type="gramStart"/>
      <w:r>
        <w:t>”,  “</w:t>
      </w:r>
      <w:proofErr w:type="gramEnd"/>
      <w:r>
        <w:t>Microbiologia Industriale”, “Chimica Organica” e “Biochimica cellulare”.</w:t>
      </w:r>
    </w:p>
    <w:p w14:paraId="0140BBBB"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Per il Corso di Laurea in Scienze Biologiche si segnalano “Chimica Organica”, “Introduzione alle Tecniche di Laboratorio”, “Farmacologia”, “Ecologia Applicata”, “Fisiologia vegetale”, “Funzioni e dinamica delle proteine intracellulari”, “Sistematica vegetale”</w:t>
      </w:r>
    </w:p>
    <w:p w14:paraId="2B6EA5B7"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Per tutti questi insegnamenti, la percentuale del numero di ore di e-activity è stata maggiore del 2%</w:t>
      </w:r>
      <w:r w:rsidR="00D157E0">
        <w:rPr>
          <w:b/>
          <w:bCs/>
        </w:rPr>
        <w:t xml:space="preserve"> (media complessiva del 9%)</w:t>
      </w:r>
      <w:r>
        <w:t>.</w:t>
      </w:r>
    </w:p>
    <w:p w14:paraId="4ED81A7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p>
    <w:p w14:paraId="68718289" w14:textId="443B4E0F"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Nel prossimo futuro sarà valutata l’opportunità di introdurre la figura dell’e-tutor a supporto dell’attività didattica dei docenti.</w:t>
      </w:r>
      <w:r w:rsidR="00D25F46">
        <w:t xml:space="preserve"> Annualmente (tipicamente tra aprile e maggio) i docenti </w:t>
      </w:r>
      <w:r w:rsidR="00725FCE">
        <w:t xml:space="preserve">interessati </w:t>
      </w:r>
      <w:r w:rsidR="00D25F46">
        <w:t>hanno la possibilità di chiedere</w:t>
      </w:r>
      <w:r w:rsidR="00725FCE">
        <w:t xml:space="preserve"> al CCD </w:t>
      </w:r>
      <w:r w:rsidR="00D25F46">
        <w:t>l’</w:t>
      </w:r>
      <w:r w:rsidR="00D25F46" w:rsidRPr="00D25F46">
        <w:t xml:space="preserve">attivazione dei tutorati </w:t>
      </w:r>
      <w:r w:rsidR="00D25F46">
        <w:t>per l’anno accademico successivo</w:t>
      </w:r>
      <w:r w:rsidR="00D25F46" w:rsidRPr="00D25F46">
        <w:t xml:space="preserve">. </w:t>
      </w:r>
    </w:p>
    <w:p w14:paraId="65A9B04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Cronologia: </w:t>
      </w:r>
      <w:r>
        <w:t>inizio nel 2024, valutazione del progresso settembre 2025</w:t>
      </w:r>
    </w:p>
    <w:p w14:paraId="39DCDDA7"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Indicatore: </w:t>
      </w:r>
      <w:r>
        <w:t>2% delle ore erogate come e-activity nel triennio</w:t>
      </w:r>
    </w:p>
    <w:p w14:paraId="6930102E"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Target anno 2025: </w:t>
      </w:r>
      <w:r>
        <w:t>Valutazione del progresso: 2% delle ore erogate come e-activity nel triennio.</w:t>
      </w:r>
    </w:p>
    <w:p w14:paraId="73E99D9C"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Valore misurato al 31/12/25: </w:t>
      </w:r>
      <w:r>
        <w:t>non sono stati attivati insegnamenti formalmente definiti come “blended” ma sono state introdotte e valorizzate e-</w:t>
      </w:r>
      <w:proofErr w:type="spellStart"/>
      <w:r>
        <w:t>activities</w:t>
      </w:r>
      <w:proofErr w:type="spellEnd"/>
      <w:r>
        <w:t>. Sono stati individuati gli insegnamenti che hanno introdotto e-activity per più del 2% delle ore erogate.</w:t>
      </w:r>
    </w:p>
    <w:p w14:paraId="64504EE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 di raggiungimento del risultato: 100%</w:t>
      </w:r>
      <w:r>
        <w:rPr>
          <w:color w:val="4472C4"/>
        </w:rPr>
        <w:t>.</w:t>
      </w:r>
    </w:p>
    <w:p w14:paraId="77EFB6AD" w14:textId="77777777" w:rsidR="00A05C15" w:rsidRDefault="00A05C15">
      <w:pPr>
        <w:pBdr>
          <w:top w:val="nil"/>
          <w:left w:val="nil"/>
          <w:bottom w:val="nil"/>
          <w:right w:val="nil"/>
          <w:between w:val="nil"/>
        </w:pBdr>
        <w:spacing w:after="0"/>
        <w:jc w:val="both"/>
        <w:rPr>
          <w:rFonts w:ascii="Verdana" w:eastAsia="Verdana" w:hAnsi="Verdana" w:cs="Verdana"/>
          <w:sz w:val="28"/>
          <w:szCs w:val="28"/>
        </w:rPr>
      </w:pPr>
    </w:p>
    <w:p w14:paraId="424004FB"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Azione 2: Promozione della didattica blended e-learning nei CdS magistrali afferenti al Dipartimento</w:t>
      </w:r>
    </w:p>
    <w:p w14:paraId="2D0BEE05"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Ambito:</w:t>
      </w:r>
      <w:r>
        <w:rPr>
          <w:i/>
          <w:iCs/>
        </w:rPr>
        <w:t xml:space="preserve"> </w:t>
      </w:r>
      <w:r>
        <w:t>Didattica</w:t>
      </w:r>
    </w:p>
    <w:p w14:paraId="3DB711AE"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Obiettivo</w:t>
      </w:r>
      <w:r>
        <w:t>: Didattica innovativa</w:t>
      </w:r>
    </w:p>
    <w:p w14:paraId="332E0E3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Collegamento con PSA:</w:t>
      </w:r>
      <w:r>
        <w:t xml:space="preserve"> Obiettivo 1.1 del Piano Strategico di Ateneo ("Didattica Innovativa").</w:t>
      </w:r>
      <w:r>
        <w:br/>
        <w:t>Indicatori alternativi: L’indicatore adottato (2% ore e-activity) non è presente nel PSA, ma rappresenta una misura più adatta alla valutazione delle attività blended nel contesto magistrale dipartimentale.</w:t>
      </w:r>
      <w:r>
        <w:br/>
      </w:r>
    </w:p>
    <w:p w14:paraId="2F803F5B" w14:textId="367065B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Descrizione: </w:t>
      </w:r>
      <w:r w:rsidR="0059614D">
        <w:t>In continuità con la strategia adottata per i Corsi di Laurea (Azione 1)</w:t>
      </w:r>
      <w:r w:rsidR="00725FCE">
        <w:t xml:space="preserve">, anche </w:t>
      </w:r>
      <w:r>
        <w:t xml:space="preserve">i Corsi di Laurea Magistrale afferenti al Dipartimento hanno avviato un processo di revisione con l’obiettivo di offrire agli studenti una didattica sempre più interattiva e partecipativa, attenta all’eterogeneità della popolazione studentesca, che include un numero sempre maggiore di studenti con necessità specifiche, inclusi gli studenti lavoratori. </w:t>
      </w:r>
      <w:r w:rsidR="00725FCE">
        <w:t xml:space="preserve">In assenza di nuovi bandi d’Ateneo dedicati alla didattica blended e-learning, l’obiettivo di potenziare l’interattività è perseguito attraverso l’inserimento mirato di </w:t>
      </w:r>
      <w:r w:rsidR="00725FCE">
        <w:rPr>
          <w:i/>
          <w:iCs/>
        </w:rPr>
        <w:t>e-activity</w:t>
      </w:r>
      <w:r w:rsidR="00725FCE">
        <w:t xml:space="preserve"> all’interno degli insegnamenti tradizionali (almeno 1 per </w:t>
      </w:r>
      <w:proofErr w:type="spellStart"/>
      <w:r w:rsidR="00725FCE">
        <w:t>CdS</w:t>
      </w:r>
      <w:proofErr w:type="spellEnd"/>
      <w:r w:rsidR="00725FCE">
        <w:t>).</w:t>
      </w:r>
    </w:p>
    <w:p w14:paraId="660B65D1"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Per i Corsi di Laurea Magistrale in Biotecnologie Industriali e in Biologia, alcuni insegnamenti prevedono l’utilizzo di esercitazioni individuali e di gruppo, nonché l’analisi di casi studio, anche mediante strumenti informatici volti a favorire il coinvolgimento attivo dello studente, come ad esempio </w:t>
      </w:r>
      <w:proofErr w:type="spellStart"/>
      <w:r>
        <w:t>Kahoot</w:t>
      </w:r>
      <w:proofErr w:type="spellEnd"/>
      <w:r>
        <w:t xml:space="preserve"> e </w:t>
      </w:r>
      <w:proofErr w:type="spellStart"/>
      <w:r>
        <w:t>Mentimeter</w:t>
      </w:r>
      <w:proofErr w:type="spellEnd"/>
      <w:r>
        <w:t>.</w:t>
      </w:r>
    </w:p>
    <w:p w14:paraId="5E4DE202" w14:textId="10FAED5B" w:rsidR="00725FCE" w:rsidRDefault="00725FCE" w:rsidP="00725FCE">
      <w:pPr>
        <w:pBdr>
          <w:top w:val="single" w:sz="6" w:space="0" w:color="000000"/>
          <w:left w:val="single" w:sz="6" w:space="0" w:color="000000"/>
          <w:bottom w:val="single" w:sz="6" w:space="0" w:color="000000"/>
          <w:right w:val="single" w:sz="6" w:space="0" w:color="000000"/>
        </w:pBdr>
        <w:spacing w:after="0" w:line="276" w:lineRule="auto"/>
        <w:jc w:val="both"/>
      </w:pPr>
      <w:r>
        <w:t>Tali attività vengono monitorate da</w:t>
      </w:r>
      <w:r w:rsidR="001C1314">
        <w:t>i</w:t>
      </w:r>
      <w:r>
        <w:t xml:space="preserve"> President</w:t>
      </w:r>
      <w:r w:rsidR="001C1314">
        <w:t>i</w:t>
      </w:r>
      <w:r>
        <w:t xml:space="preserve"> di CCD attraverso richieste di comunicazione da parte dei Docenti e</w:t>
      </w:r>
      <w:r w:rsidRPr="00033CFF">
        <w:t xml:space="preserve"> vengono da questi ultimi comunicate agli studenti</w:t>
      </w:r>
      <w:r>
        <w:t xml:space="preserve"> durante le lezioni</w:t>
      </w:r>
      <w:r w:rsidRPr="00033CFF">
        <w:t>.</w:t>
      </w:r>
    </w:p>
    <w:p w14:paraId="6CE453D2" w14:textId="77777777" w:rsidR="00725FCE" w:rsidRDefault="00725FCE">
      <w:pPr>
        <w:pBdr>
          <w:top w:val="single" w:sz="6" w:space="0" w:color="000000"/>
          <w:left w:val="single" w:sz="6" w:space="0" w:color="000000"/>
          <w:bottom w:val="single" w:sz="6" w:space="0" w:color="000000"/>
          <w:right w:val="single" w:sz="6" w:space="0" w:color="000000"/>
        </w:pBdr>
        <w:spacing w:after="0" w:line="276" w:lineRule="auto"/>
        <w:jc w:val="both"/>
      </w:pPr>
    </w:p>
    <w:p w14:paraId="0E708B1D"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Tra questi insegnamenti si segnalano, per Biotecnologie Industriali, “Chimica organica applicata alle biotecnologie”, “Esempi di sviluppo di </w:t>
      </w:r>
      <w:proofErr w:type="spellStart"/>
      <w:r>
        <w:t>bioprocessi</w:t>
      </w:r>
      <w:proofErr w:type="spellEnd"/>
      <w:r>
        <w:t>”, “Analisi, Controllo e Ottimizzazione di Sistemi Biologici”, “Farmacologia Applicata” e “Microrganismi Probiotici: Biologia e Applicazioni Industriali”.</w:t>
      </w:r>
    </w:p>
    <w:p w14:paraId="0E9599B3"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Per il Corso Laurea Magistrale in Biologia, si segnalano gli insegnamenti di “Food </w:t>
      </w:r>
      <w:proofErr w:type="spellStart"/>
      <w:r>
        <w:t>Microbiology</w:t>
      </w:r>
      <w:proofErr w:type="spellEnd"/>
      <w:r>
        <w:t>”, “Farmacologia dei Chemioterapici”, “Biochimica della Nutrizione”, “Bioinformatica”.</w:t>
      </w:r>
    </w:p>
    <w:p w14:paraId="5924CD0C" w14:textId="057087AA" w:rsidR="002E6083" w:rsidRDefault="00865455" w:rsidP="002E6083">
      <w:pPr>
        <w:pBdr>
          <w:top w:val="single" w:sz="6" w:space="0" w:color="000000"/>
          <w:left w:val="single" w:sz="6" w:space="0" w:color="000000"/>
          <w:bottom w:val="single" w:sz="6" w:space="0" w:color="000000"/>
          <w:right w:val="single" w:sz="6" w:space="0" w:color="000000"/>
        </w:pBdr>
        <w:spacing w:after="0" w:line="276" w:lineRule="auto"/>
        <w:jc w:val="both"/>
      </w:pPr>
      <w:r>
        <w:rPr>
          <w:b/>
          <w:bCs/>
        </w:rPr>
        <w:t>Per tutti questi insegnamenti, la percentuale del numero di ore di e-activity è stata maggiore del 2%</w:t>
      </w:r>
      <w:r w:rsidR="002E6083">
        <w:rPr>
          <w:b/>
          <w:bCs/>
        </w:rPr>
        <w:t xml:space="preserve"> (media complessiva del </w:t>
      </w:r>
      <w:r w:rsidR="00732E4B">
        <w:rPr>
          <w:b/>
          <w:bCs/>
        </w:rPr>
        <w:t>10</w:t>
      </w:r>
      <w:r w:rsidR="002E6083">
        <w:rPr>
          <w:b/>
          <w:bCs/>
        </w:rPr>
        <w:t>%)</w:t>
      </w:r>
      <w:r w:rsidR="002E6083">
        <w:t>.</w:t>
      </w:r>
    </w:p>
    <w:p w14:paraId="1C362A6B" w14:textId="77777777" w:rsidR="00A05C15" w:rsidRDefault="00A05C15">
      <w:pPr>
        <w:pBdr>
          <w:top w:val="single" w:sz="6" w:space="0" w:color="000000"/>
          <w:left w:val="single" w:sz="6" w:space="0" w:color="000000"/>
          <w:bottom w:val="single" w:sz="6" w:space="0" w:color="000000"/>
          <w:right w:val="single" w:sz="6" w:space="0" w:color="000000"/>
        </w:pBdr>
        <w:spacing w:after="0" w:line="276" w:lineRule="auto"/>
        <w:jc w:val="both"/>
      </w:pPr>
    </w:p>
    <w:p w14:paraId="3199B267" w14:textId="491142CC"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Nel prossimo futuro sarà valutata l’opportunità di introdurre la figura dell’e-tutor a supporto dell’attività didattica dei docenti.</w:t>
      </w:r>
      <w:r w:rsidR="00725FCE" w:rsidRPr="00725FCE">
        <w:t xml:space="preserve"> </w:t>
      </w:r>
      <w:r w:rsidR="00725FCE">
        <w:t>Annualmente (tipicamente tra aprile e maggio) i docenti interessati hanno la possibilità di chiedere a</w:t>
      </w:r>
      <w:r w:rsidR="001C1314">
        <w:t>i</w:t>
      </w:r>
      <w:r w:rsidR="00725FCE">
        <w:t xml:space="preserve"> CCD l’</w:t>
      </w:r>
      <w:r w:rsidR="00725FCE" w:rsidRPr="00D25F46">
        <w:t xml:space="preserve">attivazione dei tutorati </w:t>
      </w:r>
      <w:r w:rsidR="00725FCE">
        <w:t>per l’anno accademico successivo</w:t>
      </w:r>
      <w:r w:rsidR="00725FCE" w:rsidRPr="00D25F46">
        <w:t>.</w:t>
      </w:r>
    </w:p>
    <w:p w14:paraId="705DE57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 xml:space="preserve"> </w:t>
      </w:r>
    </w:p>
    <w:p w14:paraId="5D391471"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Cronologia: </w:t>
      </w:r>
      <w:r>
        <w:t>inizio nel 2024, valutazione del progresso 2025</w:t>
      </w:r>
    </w:p>
    <w:p w14:paraId="71D229F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Indicatore: </w:t>
      </w:r>
      <w:r>
        <w:t>2% di ore erogate come e-activity nel triennio</w:t>
      </w:r>
    </w:p>
    <w:p w14:paraId="26A0A653"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Target anno 2025: </w:t>
      </w:r>
      <w:r>
        <w:t>Valutazione del progresso: 2% delle ore erogate come e-activity nel triennio.</w:t>
      </w:r>
    </w:p>
    <w:p w14:paraId="7C197D9D"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Valore misurato al 31/12/25: </w:t>
      </w:r>
      <w:r>
        <w:t>non sono stati attivati insegnamenti formalmente definiti come “blended” ma sono state introdotte e valorizzate e-</w:t>
      </w:r>
      <w:proofErr w:type="spellStart"/>
      <w:r>
        <w:t>activities</w:t>
      </w:r>
      <w:proofErr w:type="spellEnd"/>
      <w:r>
        <w:t>. Sono stati individuati gli insegnamenti che hanno introdotto e-activity per più del 2% delle ore erogate</w:t>
      </w:r>
    </w:p>
    <w:p w14:paraId="78F4EA77"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rFonts w:ascii="Verdana" w:eastAsia="Verdana" w:hAnsi="Verdana" w:cs="Verdana"/>
          <w:sz w:val="28"/>
          <w:szCs w:val="28"/>
        </w:rPr>
      </w:pPr>
      <w:r>
        <w:rPr>
          <w:b/>
          <w:bCs/>
        </w:rPr>
        <w:t>% di raggiungimento del risultato: 100%</w:t>
      </w:r>
      <w:r>
        <w:rPr>
          <w:color w:val="4472C4"/>
        </w:rPr>
        <w:t>.</w:t>
      </w:r>
    </w:p>
    <w:p w14:paraId="66D3CFF0" w14:textId="77777777" w:rsidR="00A05C15" w:rsidRDefault="00A05C15">
      <w:pPr>
        <w:pBdr>
          <w:top w:val="nil"/>
          <w:left w:val="nil"/>
          <w:bottom w:val="nil"/>
          <w:right w:val="nil"/>
          <w:between w:val="nil"/>
        </w:pBdr>
        <w:spacing w:after="0"/>
        <w:jc w:val="both"/>
        <w:rPr>
          <w:rFonts w:ascii="Verdana" w:eastAsia="Verdana" w:hAnsi="Verdana" w:cs="Verdana"/>
          <w:sz w:val="28"/>
          <w:szCs w:val="28"/>
        </w:rPr>
      </w:pPr>
    </w:p>
    <w:p w14:paraId="66DD1C00"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Azione 3: Progettazione di attività di orientamento in entrata per i CdS di I livello in Biotecnologie e Scienze Biologiche</w:t>
      </w:r>
    </w:p>
    <w:p w14:paraId="4B8828D5"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Ambito:</w:t>
      </w:r>
      <w:r>
        <w:rPr>
          <w:i/>
          <w:iCs/>
        </w:rPr>
        <w:t xml:space="preserve"> </w:t>
      </w:r>
      <w:r>
        <w:t>Orientamento</w:t>
      </w:r>
    </w:p>
    <w:p w14:paraId="41933E62"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pPr>
      <w:r>
        <w:rPr>
          <w:b/>
          <w:bCs/>
        </w:rPr>
        <w:t>Obiettivo</w:t>
      </w:r>
      <w:r>
        <w:t>: Numero di azioni di orientamento in entrata e in uscita.</w:t>
      </w:r>
      <w:r>
        <w:br/>
      </w:r>
      <w:r>
        <w:rPr>
          <w:b/>
          <w:bCs/>
        </w:rPr>
        <w:t>Collegamento con PSA</w:t>
      </w:r>
      <w:r>
        <w:t>: Obiettivo 1.3 del Piano Strategico di Ateneo ("Orientamento, placement e servizi agli studenti").  Indicatori alternativi: È utilizzato un indicatore basato sul numero di attività, in coerenza con la missione e le strategie del Dipartimento.</w:t>
      </w:r>
    </w:p>
    <w:p w14:paraId="48CD089F"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p>
    <w:p w14:paraId="7CD09F7D"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Descrizione: </w:t>
      </w:r>
      <w:r>
        <w:t>In affiancamento al Piano di Orientamento di Ateneo, alle azioni correlate al PNRR Orientamento MUR, all’offerta dei PCTO (Percorsi per le competenze trasversali e l’orientamento) programmate nel PSA 23-25 e al Progetto Lauree Scientifiche (PLS), i CCD supporteranno il Dipartimento nella progettazione ed erogazione di attività specifiche di orientamento in ingresso per i CdS di I livello. Uno degli obiettivi fondamentali di queste attività sarà l’orientamento consapevole degli studenti delle Scuole Secondarie di secondo grado verso due progetti formativi strettamente correlati, quali sono le Biotecnologie e le Scienze Biologiche, pur tuttavia differenti.</w:t>
      </w:r>
    </w:p>
    <w:p w14:paraId="6A83758B"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p>
    <w:p w14:paraId="50414E81"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Cronologia: </w:t>
      </w:r>
      <w:r>
        <w:t>ottobre 2023-settembre 2025</w:t>
      </w:r>
    </w:p>
    <w:p w14:paraId="746D921D"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Indicatore: </w:t>
      </w:r>
      <w:r>
        <w:t>numero di attività effettuate</w:t>
      </w:r>
    </w:p>
    <w:p w14:paraId="2A8B47EA"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Target: </w:t>
      </w:r>
      <w:r>
        <w:t>Progettazione ed erogazione attività di orientamento</w:t>
      </w:r>
    </w:p>
    <w:p w14:paraId="3C52ACB5"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Progettazione di 2 attività nel 2023</w:t>
      </w:r>
    </w:p>
    <w:p w14:paraId="4AB8674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Progettazione di 2 attività nel 2024</w:t>
      </w:r>
    </w:p>
    <w:p w14:paraId="1F5F129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Erogazione di 2 attività nel 2024</w:t>
      </w:r>
    </w:p>
    <w:p w14:paraId="1D59181A"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Erogazione di 2 attività nel 2025</w:t>
      </w:r>
    </w:p>
    <w:p w14:paraId="7DFE70D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 Target anno 2025:</w:t>
      </w:r>
      <w:r>
        <w:t xml:space="preserve"> Erogazione di 2 attività di orientamento.</w:t>
      </w:r>
    </w:p>
    <w:p w14:paraId="253BC851"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Valore misurato al 31/12/25.</w:t>
      </w:r>
    </w:p>
    <w:p w14:paraId="0180879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t>Nel 2024 sono state erogate complessivamente per i due CdS oltre 30 attività, come dettagliato nel documento di monitoraggio annuale del 2024</w:t>
      </w:r>
      <w:r>
        <w:rPr>
          <w:b/>
          <w:bCs/>
        </w:rPr>
        <w:t>.</w:t>
      </w:r>
    </w:p>
    <w:p w14:paraId="3ADEA697"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Nel seguito il dettaglio delle oltre 30 attività progettate/erogate nel 2025.</w:t>
      </w:r>
    </w:p>
    <w:p w14:paraId="0AA9B691"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 xml:space="preserve"> </w:t>
      </w:r>
    </w:p>
    <w:p w14:paraId="2BCD911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Nel 2025 i due CdS hanno progettato/erogato le seguenti attività di orientamento in entrata: </w:t>
      </w:r>
    </w:p>
    <w:p w14:paraId="08443D4F"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Incontro di “benvenuto matricole” (uno per CdS)</w:t>
      </w:r>
    </w:p>
    <w:p w14:paraId="3CF0AF47"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Open </w:t>
      </w:r>
      <w:proofErr w:type="spellStart"/>
      <w:r>
        <w:t>days</w:t>
      </w:r>
      <w:proofErr w:type="spellEnd"/>
      <w:r>
        <w:t xml:space="preserve"> di Ateneo (un’attività svolta il 23/05/2025 e una progettata/svolta il 29/01/2026)</w:t>
      </w:r>
    </w:p>
    <w:p w14:paraId="78811DBE"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Open </w:t>
      </w:r>
      <w:proofErr w:type="spellStart"/>
      <w:r>
        <w:t>days</w:t>
      </w:r>
      <w:proofErr w:type="spellEnd"/>
      <w:r>
        <w:t xml:space="preserve"> d’area (2 attività svolte: 11/02/2025 e 20/11/2025 e una progettata per il 14/4/2026)</w:t>
      </w:r>
    </w:p>
    <w:p w14:paraId="0C5EF1E5"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Presentazione del corso di studi e dell’offerta formativa della scuola di scienze presso istituti secondari di secondo grado: Progetto Teseo - 15-24/1/2025; Licei FAES - 15/1/2025; Campus Monza - 27/10/ </w:t>
      </w:r>
      <w:proofErr w:type="gramStart"/>
      <w:r>
        <w:t>2025;  Liceo</w:t>
      </w:r>
      <w:proofErr w:type="gramEnd"/>
      <w:r>
        <w:t xml:space="preserve"> Volta-Milano - 7/2/2025</w:t>
      </w:r>
    </w:p>
    <w:p w14:paraId="31729903"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Biotech School (PNRR, 1 attività di orientamento nel mondo delle biotecnologie sviluppata su 3 giornate: 13/02/2025, 19/02/</w:t>
      </w:r>
      <w:proofErr w:type="gramStart"/>
      <w:r>
        <w:t>2025,  10</w:t>
      </w:r>
      <w:proofErr w:type="gramEnd"/>
      <w:r>
        <w:t>/3/2025- per un totale di 15 ore e destinata agli studenti delle scuole superiori)</w:t>
      </w:r>
    </w:p>
    <w:p w14:paraId="1464D21F"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-Realizzazione di video-pillole per promuovere la scelta delle lauree e delle professioni nell’ottica di genere in collaborazione con progetto GEP d’Ateneo</w:t>
      </w:r>
    </w:p>
    <w:p w14:paraId="7ADDB46B"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Biotecnologie - intervista a ricercatrice accademica e insegnante delle scuole superiori</w:t>
      </w:r>
    </w:p>
    <w:p w14:paraId="265F5FD0"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Biologia - intervista a ricercatrice in biotech e comunicatore della Scienza in università</w:t>
      </w:r>
    </w:p>
    <w:p w14:paraId="33EB7A9E"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proofErr w:type="spellStart"/>
      <w:r>
        <w:t>Winter</w:t>
      </w:r>
      <w:proofErr w:type="spellEnd"/>
      <w:r>
        <w:t xml:space="preserve"> School PNRR Scopri sperimenta ed impara costituita da un modulo frontale di 5 ore sul mondo della biologia e delle biotecnologie in università e due laboratori disciplinari di 5 ore ciascuno a scelta su 8 tematiche diverse (biochimica delle proteine, biologia computazionale, biologia e biochimica cellulare, biologia molecolare applicata, genetica, immunologia, istologia, microbiologia industriale, neurofisiologia) svolta in più giornate dal 09/01/2025 al 11/02/2025 destinata agli studenti delle scuole superiori</w:t>
      </w:r>
    </w:p>
    <w:p w14:paraId="6BCBC0E2"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-Progetto STEMPATHY per il liceo Gandhi per l’erogazione di laboratori multidisciplinari tra cui il laboratorio di biotecnologie cellulari 20/02/2025</w:t>
      </w:r>
    </w:p>
    <w:p w14:paraId="02B394DE"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Nuove frontiere della ricerca preclinica oncologica: 2 attività (5 ore ciascuna) svolte presso:</w:t>
      </w:r>
    </w:p>
    <w:p w14:paraId="3E62B861"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r>
        <w:tab/>
        <w:t xml:space="preserve">Liceo </w:t>
      </w:r>
      <w:proofErr w:type="spellStart"/>
      <w:r>
        <w:t>Amaldi</w:t>
      </w:r>
      <w:proofErr w:type="spellEnd"/>
      <w:r>
        <w:t xml:space="preserve"> Alzano Lombardo in data 14/02/2025</w:t>
      </w:r>
    </w:p>
    <w:p w14:paraId="6C482FC3"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r>
        <w:tab/>
        <w:t xml:space="preserve">Liceo </w:t>
      </w:r>
      <w:proofErr w:type="spellStart"/>
      <w:r>
        <w:t>Giovio</w:t>
      </w:r>
      <w:proofErr w:type="spellEnd"/>
      <w:r>
        <w:t>/Como in data 18/06/2025</w:t>
      </w:r>
    </w:p>
    <w:p w14:paraId="285D4A7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Biologia e Biotecnologie all’Università: 1 attività (5 ore) svolta presso:</w:t>
      </w:r>
    </w:p>
    <w:p w14:paraId="1DFEB68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r>
        <w:tab/>
        <w:t xml:space="preserve">Liceo </w:t>
      </w:r>
      <w:proofErr w:type="spellStart"/>
      <w:r>
        <w:t>Amaldi</w:t>
      </w:r>
      <w:proofErr w:type="spellEnd"/>
      <w:r>
        <w:t xml:space="preserve"> Alzano Lombardo in data 14/05/2025</w:t>
      </w:r>
    </w:p>
    <w:p w14:paraId="4FAD708C"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p>
    <w:p w14:paraId="4BC38F5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Laboratori PLS di biologia e biotecnologie che hanno coinvolto 22 scuole (34 docenti e circa 280 studenti): totale di 7 attività su diverse tematiche (Biochimica delle proteine, Biologia computazionale, Biochimica e biologia cellulare, Biologia molecolare applicata, Immunologia, Istologia, Microbiologia Industriale, Neurofisiologia) organizzate dal 27/01/25 al 12/2/25</w:t>
      </w:r>
    </w:p>
    <w:p w14:paraId="285EC65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-Coprogettazioni disciplinari che hanno coinvolto 4 scuole 19 docenti e circa 140 studenti sulle seguenti tematiche: Genetica (21 e 27/01/2025 - Istituto </w:t>
      </w:r>
      <w:proofErr w:type="spellStart"/>
      <w:r>
        <w:t>Maironi</w:t>
      </w:r>
      <w:proofErr w:type="spellEnd"/>
      <w:r>
        <w:t xml:space="preserve"> da Ponte di Presezzo, BG), Immunologia del microambiente tumorale (22 e 27/01/</w:t>
      </w:r>
      <w:proofErr w:type="gramStart"/>
      <w:r>
        <w:t>2025  Istituto</w:t>
      </w:r>
      <w:proofErr w:type="gramEnd"/>
      <w:r>
        <w:t xml:space="preserve"> </w:t>
      </w:r>
      <w:proofErr w:type="spellStart"/>
      <w:r>
        <w:t>Maironi</w:t>
      </w:r>
      <w:proofErr w:type="spellEnd"/>
      <w:r>
        <w:t xml:space="preserve"> da Ponte di Presezzo, BG), Biochimica dei tumori (02/04/25  Liceo Militare </w:t>
      </w:r>
      <w:proofErr w:type="spellStart"/>
      <w:r>
        <w:t>Teuliè</w:t>
      </w:r>
      <w:proofErr w:type="spellEnd"/>
      <w:r>
        <w:t xml:space="preserve"> Milano) Microbiologia ambientale (04/02/25 Collegio San Carlo Milano 17/02/25 Liceo Militare </w:t>
      </w:r>
      <w:proofErr w:type="spellStart"/>
      <w:r>
        <w:t>Teuliè</w:t>
      </w:r>
      <w:proofErr w:type="spellEnd"/>
      <w:r>
        <w:t xml:space="preserve"> Milano 24/02/25 ITCS Primo Levi Bollate) (PLS)</w:t>
      </w:r>
    </w:p>
    <w:p w14:paraId="56EBA0E4"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UNISTEM day (laboratori disciplinari di biologia cellulare e genetica umana) 14/03/25 con attività frontale più attività sperimentale nei laboratori di ricerca del Dipartimento. </w:t>
      </w:r>
    </w:p>
    <w:p w14:paraId="288827E4"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-Ricercatori in classe: l’attività formativa è stata erogata il 17/10/2024 presso il Liceo Giordano Bruno di Cassano D’Adda e il 06/03/2025 presso ISIS Einaudi di Dalmine (BG) (PLS)</w:t>
      </w:r>
    </w:p>
    <w:p w14:paraId="0A6F203C"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-Attività di autovalutazione “Ne sai di Biologia e Biotecnologie?”. Test su quesiti di biologia e biotecnologie erogato da remoto in modalità concorsuale il 11/04/25. I primi 3 classificati sono stati premiati il 16/04/25 in occasione dello </w:t>
      </w:r>
      <w:proofErr w:type="spellStart"/>
      <w:r>
        <w:t>pettacolo</w:t>
      </w:r>
      <w:proofErr w:type="spellEnd"/>
      <w:r>
        <w:t xml:space="preserve"> di comunicazione della scienza dal titolo </w:t>
      </w:r>
      <w:proofErr w:type="spellStart"/>
      <w:r>
        <w:t>Se.No</w:t>
      </w:r>
      <w:proofErr w:type="spellEnd"/>
      <w:r>
        <w:t xml:space="preserve"> (teatro civile che promuova la prevenzione del tumore al </w:t>
      </w:r>
      <w:proofErr w:type="gramStart"/>
      <w:r>
        <w:t>seno)  (</w:t>
      </w:r>
      <w:proofErr w:type="gramEnd"/>
      <w:r>
        <w:t>PLS)</w:t>
      </w:r>
    </w:p>
    <w:p w14:paraId="64345F6F"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-Lezioni simulate di corsi del primo o secondo anno multidisciplinari, 18,19,20 febbraio 25 (lezione sulle frontiere della genetica nell’era post-genomica) (PLS)</w:t>
      </w:r>
    </w:p>
    <w:p w14:paraId="483E03A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-Summer school PLS interdisciplinare “Eventi estremi e specie aliene: gli effetti del cambiamento climatico”, con attività al Vivaio-Bicocca su Insetti impollinatori 16-20 giugno 2025 (PLS)</w:t>
      </w:r>
    </w:p>
    <w:p w14:paraId="0E1F382C"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-Workshop di comunicazione emozionale della scienza aperto a 20 membri dell’Ateneo (da dicembre 24 ad aprile 25) ed evento di restituzione aperto alle scuole ed alla cittadinanza, consistente nello spettacolo del 17/04/25 </w:t>
      </w:r>
      <w:proofErr w:type="spellStart"/>
      <w:r>
        <w:t>RicercAttori</w:t>
      </w:r>
      <w:proofErr w:type="spellEnd"/>
      <w:r>
        <w:t xml:space="preserve"> in scena per comunicare la ricerca in modo emozionale. (PLS)</w:t>
      </w:r>
    </w:p>
    <w:p w14:paraId="5EBAB84A" w14:textId="77777777" w:rsidR="00A05C15" w:rsidRDefault="00A05C15">
      <w:pPr>
        <w:pBdr>
          <w:top w:val="single" w:sz="6" w:space="0" w:color="000000"/>
          <w:left w:val="single" w:sz="6" w:space="0" w:color="000000"/>
          <w:bottom w:val="single" w:sz="6" w:space="0" w:color="000000"/>
          <w:right w:val="single" w:sz="6" w:space="0" w:color="000000"/>
        </w:pBdr>
        <w:spacing w:after="0" w:line="276" w:lineRule="auto"/>
        <w:jc w:val="both"/>
        <w:rPr>
          <w:color w:val="4472C4"/>
        </w:rPr>
      </w:pPr>
    </w:p>
    <w:p w14:paraId="3C3CD396" w14:textId="77777777" w:rsidR="00A05C15" w:rsidRPr="0038032C" w:rsidRDefault="00865455" w:rsidP="0038032C">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 raggiungimento del risultato: &gt;&gt; 100 %</w:t>
      </w:r>
    </w:p>
    <w:p w14:paraId="048E0021" w14:textId="77777777" w:rsidR="00A05C15" w:rsidRDefault="00A05C15">
      <w:pPr>
        <w:pBdr>
          <w:top w:val="nil"/>
          <w:left w:val="nil"/>
          <w:bottom w:val="nil"/>
          <w:right w:val="nil"/>
          <w:between w:val="nil"/>
        </w:pBdr>
        <w:spacing w:after="0"/>
        <w:jc w:val="both"/>
        <w:rPr>
          <w:rFonts w:ascii="Verdana" w:eastAsia="Verdana" w:hAnsi="Verdana" w:cs="Verdana"/>
          <w:sz w:val="28"/>
          <w:szCs w:val="28"/>
        </w:rPr>
      </w:pPr>
    </w:p>
    <w:p w14:paraId="56A7B54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Azione 4: Progettazione di attività di orientamento in entrata per i CdS di II livello in Biotecnologie Industriali e in Biologia</w:t>
      </w:r>
    </w:p>
    <w:p w14:paraId="7AE21C9C"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Ambito:</w:t>
      </w:r>
      <w:r>
        <w:rPr>
          <w:i/>
          <w:iCs/>
        </w:rPr>
        <w:t xml:space="preserve"> </w:t>
      </w:r>
      <w:r>
        <w:t>Orientamento</w:t>
      </w:r>
    </w:p>
    <w:p w14:paraId="4F70993D"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pPr>
      <w:r>
        <w:rPr>
          <w:b/>
          <w:bCs/>
        </w:rPr>
        <w:t>Obiettivo</w:t>
      </w:r>
      <w:r>
        <w:t>: Numero di azioni di orientamento in entrata e in uscita</w:t>
      </w:r>
      <w:r>
        <w:br/>
        <w:t xml:space="preserve"> </w:t>
      </w:r>
      <w:r>
        <w:rPr>
          <w:b/>
          <w:bCs/>
        </w:rPr>
        <w:t>Collegamento con PSA</w:t>
      </w:r>
      <w:r>
        <w:t>: Obiettivo 1.3 del Piano Strategico di Ateneo.</w:t>
      </w:r>
      <w:r>
        <w:br/>
        <w:t xml:space="preserve"> Indicatori alternativi: Anche in questo caso, il numero di attività progettate ed erogate costituisce un indicatore dipartimentale coerente con le esigenze del contesto.</w:t>
      </w:r>
      <w:r>
        <w:br/>
      </w:r>
      <w:r>
        <w:br/>
      </w:r>
      <w:r>
        <w:rPr>
          <w:b/>
          <w:bCs/>
        </w:rPr>
        <w:t xml:space="preserve">Descrizione: </w:t>
      </w:r>
      <w:r>
        <w:t>In affiancamento al Piano di Orientamento di Ateneo, programmate nel PSA 23-25, i CCD supporteranno il Dipartimento nella progettazione ed erogazione di attività specifiche di orientamento in ingresso per i CdS di II livello. Uno degli obiettivi fondamentali di queste attività sarà l’orientamento consapevole degli studenti provenienti dai CdS di I livello correlati alle Scienze della Vita verso le opportunità di crescita professionale offerte dal percorso in Biotecnologie Industriali e in Biologia. Le attività di orientamento in entrata per i CdS di II livello di fatto sono da considerarsi anche come attività di orientamento in uscita per i CdS di I livello.</w:t>
      </w:r>
    </w:p>
    <w:p w14:paraId="2DB389B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p>
    <w:p w14:paraId="5BB6C8B5"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Cronologia: </w:t>
      </w:r>
      <w:r>
        <w:t>ottobre 2023-settembre 2025</w:t>
      </w:r>
    </w:p>
    <w:p w14:paraId="0E3EAD6F"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Indicatore: </w:t>
      </w:r>
      <w:r>
        <w:t>numero di attività effettuate</w:t>
      </w:r>
    </w:p>
    <w:p w14:paraId="1590417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Target: </w:t>
      </w:r>
      <w:r>
        <w:t>Progettazione ed erogazione attività di orientamento</w:t>
      </w:r>
    </w:p>
    <w:p w14:paraId="5A2BFFF1"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Progettazione di 1 attività per Biologia e 1 per Biotecnologie Industriali nel 2023</w:t>
      </w:r>
    </w:p>
    <w:p w14:paraId="6506A39B"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Progettazione di 1 attività per Biologia e 2 per Biotecnologie Industriali nel 2024</w:t>
      </w:r>
    </w:p>
    <w:p w14:paraId="4ABF501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Erogazione di 1 attività per Biologia e 2 per Biotecnologie Industriali nel 2024</w:t>
      </w:r>
    </w:p>
    <w:p w14:paraId="287079F1"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Erogazione di 1 attività per Biologia e 2 per Biotecnologie Industriali nel 2025</w:t>
      </w:r>
    </w:p>
    <w:p w14:paraId="7E02E87D" w14:textId="77777777" w:rsidR="00A05C15" w:rsidRDefault="00A05C15">
      <w:pPr>
        <w:pBdr>
          <w:top w:val="single" w:sz="6" w:space="0" w:color="000000"/>
          <w:left w:val="single" w:sz="6" w:space="0" w:color="000000"/>
          <w:bottom w:val="single" w:sz="6" w:space="0" w:color="000000"/>
          <w:right w:val="single" w:sz="6" w:space="0" w:color="000000"/>
        </w:pBdr>
        <w:spacing w:after="0" w:line="276" w:lineRule="auto"/>
        <w:jc w:val="both"/>
      </w:pPr>
    </w:p>
    <w:p w14:paraId="509E10B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Target anno 2025: </w:t>
      </w:r>
      <w:r>
        <w:t>Erogazione di 1 attività per Biologia e 2 per Biotecnologie Industriali nel 2025.</w:t>
      </w:r>
    </w:p>
    <w:p w14:paraId="5AF4793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Valore misurato al 31/12/25.</w:t>
      </w:r>
    </w:p>
    <w:p w14:paraId="6FDB6EC0"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Nel 2024 sono state erogate complessivamente per i due CdS oltre 5 attività, come dettagliato nel documento di monitoraggio annuale del 2024.</w:t>
      </w:r>
    </w:p>
    <w:p w14:paraId="50349CEE"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Nel 2025 sono state erogate complessivamente per i due CdS oltre 5 attività, come dettagliato nel seguito.</w:t>
      </w:r>
    </w:p>
    <w:p w14:paraId="0D7546EF"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-Incontro di “benvenuto matricole” (uno per CdS)</w:t>
      </w:r>
    </w:p>
    <w:p w14:paraId="672EE49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-Open day di Ateneo (1 attività per CdS svolta il 12/03/2025 e una progettata per il 19/03/2026)</w:t>
      </w:r>
    </w:p>
    <w:p w14:paraId="0D043D51"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-Open day di Dipartimento (1 attività per CdS svolta il 17/12/2025)</w:t>
      </w:r>
    </w:p>
    <w:p w14:paraId="76B0F256" w14:textId="363C753C"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-Attività di orientamento in entrata per i CdS di II livello progettate per gli studenti di I livello: Il laboratorio delle professioni (in collaborazione con Assolombarda), ciclo di incontri, Febbraio - Maggio 2025.</w:t>
      </w:r>
    </w:p>
    <w:p w14:paraId="486A5291" w14:textId="77777777" w:rsidR="0036749B" w:rsidRDefault="0036749B">
      <w:pPr>
        <w:pBdr>
          <w:top w:val="single" w:sz="6" w:space="0" w:color="000000"/>
          <w:left w:val="single" w:sz="6" w:space="0" w:color="000000"/>
          <w:bottom w:val="single" w:sz="6" w:space="0" w:color="000000"/>
          <w:right w:val="single" w:sz="6" w:space="0" w:color="000000"/>
        </w:pBdr>
        <w:spacing w:after="0" w:line="276" w:lineRule="auto"/>
        <w:jc w:val="both"/>
      </w:pPr>
    </w:p>
    <w:p w14:paraId="7D4DC9FF"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rFonts w:ascii="Verdana" w:eastAsia="Verdana" w:hAnsi="Verdana" w:cs="Verdana"/>
          <w:sz w:val="28"/>
          <w:szCs w:val="28"/>
          <w:highlight w:val="yellow"/>
        </w:rPr>
      </w:pPr>
      <w:r>
        <w:rPr>
          <w:b/>
          <w:bCs/>
        </w:rPr>
        <w:t>% raggiungimento del risultato: &gt; 100 %</w:t>
      </w:r>
    </w:p>
    <w:p w14:paraId="2C4B261D" w14:textId="77777777" w:rsidR="00A05C15" w:rsidRDefault="00A05C15">
      <w:pPr>
        <w:pBdr>
          <w:top w:val="nil"/>
          <w:left w:val="nil"/>
          <w:bottom w:val="nil"/>
          <w:right w:val="nil"/>
          <w:between w:val="nil"/>
        </w:pBdr>
        <w:spacing w:after="0"/>
        <w:jc w:val="both"/>
        <w:rPr>
          <w:rFonts w:ascii="Verdana" w:eastAsia="Verdana" w:hAnsi="Verdana" w:cs="Verdana"/>
          <w:sz w:val="28"/>
          <w:szCs w:val="28"/>
        </w:rPr>
      </w:pPr>
    </w:p>
    <w:p w14:paraId="5A01DE5B"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Azione 5: Progettazione di attività di orientamento in uscita per i CdS di II livello in Biotecnologie Industriali e in Biologia</w:t>
      </w:r>
    </w:p>
    <w:p w14:paraId="14BC2F44"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Ambito:</w:t>
      </w:r>
      <w:r>
        <w:rPr>
          <w:i/>
          <w:iCs/>
        </w:rPr>
        <w:t xml:space="preserve"> </w:t>
      </w:r>
      <w:r>
        <w:t>Orientamento</w:t>
      </w:r>
    </w:p>
    <w:p w14:paraId="126DEDE4"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pPr>
      <w:r>
        <w:rPr>
          <w:b/>
          <w:bCs/>
        </w:rPr>
        <w:t>Obiettivo</w:t>
      </w:r>
      <w:r>
        <w:t>: Numero di azioni di orientamento in entrata e in uscita</w:t>
      </w:r>
      <w:r>
        <w:br/>
        <w:t xml:space="preserve"> </w:t>
      </w:r>
      <w:r>
        <w:rPr>
          <w:b/>
          <w:bCs/>
        </w:rPr>
        <w:t>Collegamento con PSA</w:t>
      </w:r>
      <w:r>
        <w:t>: Obiettivo 1.3 ("Orientamento, placement e servizi agli studenti") e 3.5 ("Autonomia dei giovani ricercatori").</w:t>
      </w:r>
    </w:p>
    <w:p w14:paraId="1E4C016C"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Indicatori alternativi: L’indicatore adottato si basa sul numero di iniziative, coerente con le attività previste nel Piano Strategico, ma più aderente alla realtà dipartimentale.</w:t>
      </w:r>
    </w:p>
    <w:p w14:paraId="64DF4B8C"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p>
    <w:p w14:paraId="6562265B"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Descrizione: </w:t>
      </w:r>
      <w:r>
        <w:t>In affiancamento alle attività e ai servizi di Ateneo per il Job Placement programmate nel PSA 23-25, i CCD supporteranno il Dipartimento nella progettazione ed erogazione di attività specifiche di orientamento in uscita per i CdS di II livello, con l’obiettivo di supportare gli studenti in uscita nello sviluppo della propria carriera professionale.</w:t>
      </w:r>
    </w:p>
    <w:p w14:paraId="01664B80"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 xml:space="preserve"> </w:t>
      </w:r>
    </w:p>
    <w:p w14:paraId="4C6B2A31"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Cronologia: </w:t>
      </w:r>
      <w:r>
        <w:t>ottobre 2023-settembre 2025</w:t>
      </w:r>
    </w:p>
    <w:p w14:paraId="463E789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Indicatore: </w:t>
      </w:r>
      <w:r>
        <w:t>numero di attività effettuate</w:t>
      </w:r>
    </w:p>
    <w:p w14:paraId="65A4EF2D"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Target: </w:t>
      </w:r>
      <w:r>
        <w:t>Progettazione ed erogazione attività di orientamento</w:t>
      </w:r>
    </w:p>
    <w:p w14:paraId="037885A4"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Progettazione di 1 attività per Biologia e 1 per Biotecnologie Industriali nel 2023</w:t>
      </w:r>
    </w:p>
    <w:p w14:paraId="41AB9475"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Progettazione di 1 attività per Biologia e 1 per Biotecnologie Industriali nel 2024</w:t>
      </w:r>
    </w:p>
    <w:p w14:paraId="6E6B28F7"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Progettazione di 1 attività congiunta per Biologia e Biotecnologie Industriali per l’ingresso in un percorso di III livello (Dottorato) nel 2023</w:t>
      </w:r>
    </w:p>
    <w:p w14:paraId="200F6B1E"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Progettazione di 1 attività congiunta per Biologia e Biotecnologie Industriali per l’ingresso in un percorso di III livello (Dottorato) nel 2024</w:t>
      </w:r>
    </w:p>
    <w:p w14:paraId="0A8D1A3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Erogazione di 1 attività per Biologia e 1 per Biotecnologie Industriali nel 2024</w:t>
      </w:r>
    </w:p>
    <w:p w14:paraId="6233924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Erogazione di 1 attività per Biologia e 1 per Biotecnologie Industriali nel 2025</w:t>
      </w:r>
    </w:p>
    <w:p w14:paraId="6F7FE05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Erogazione di 1 attività per l’orientamento al dottorato nel 2024</w:t>
      </w:r>
    </w:p>
    <w:p w14:paraId="17CE8A6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Erogazione di 1 attività per l’orientamento al dottorato nel 2025</w:t>
      </w:r>
    </w:p>
    <w:p w14:paraId="69A063C3"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w:t>
      </w:r>
    </w:p>
    <w:p w14:paraId="49202195"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Target anno 2025: </w:t>
      </w:r>
      <w:r>
        <w:t>Erogazione di 1 attività per CdS nel 2025; Progettazione di 1 attività congiunta per l’ingresso in un percorso di III livello (Dottorato) nel 2025.</w:t>
      </w:r>
    </w:p>
    <w:p w14:paraId="70B520A0"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Valore misurato al 31/12/25.</w:t>
      </w:r>
    </w:p>
    <w:p w14:paraId="6FB18F9C"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Nel 2024 sono state erogate complessivamente per i due CdS oltre 5 attività, come dettagliato nel documento di monitoraggio annuale del 2024.</w:t>
      </w:r>
    </w:p>
    <w:p w14:paraId="09DF4CAF"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Nel 2025 sono state erogate complessivamente per i due CdS oltre 5 attività, come dettagliato nel seguito.</w:t>
      </w:r>
    </w:p>
    <w:p w14:paraId="568D968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Il laboratorio delle professioni (in collaborazione con Assolombarda), ciclo di incontri, Febbraio - Maggio 2025.</w:t>
      </w:r>
    </w:p>
    <w:p w14:paraId="10D4F21E"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Gli “Spring </w:t>
      </w:r>
      <w:proofErr w:type="spellStart"/>
      <w:r>
        <w:t>Meetings</w:t>
      </w:r>
      <w:proofErr w:type="spellEnd"/>
      <w:r>
        <w:t>” organizzati nell’ambito del Corso di Dottorato di Ricerca in Tecnologie Convergenti per i Sistemi Biomolecolari (</w:t>
      </w:r>
      <w:proofErr w:type="spellStart"/>
      <w:r>
        <w:t>TeCSBi</w:t>
      </w:r>
      <w:proofErr w:type="spellEnd"/>
      <w:r>
        <w:t>). Marzo-maggio 2025. Collaborazione con il dottorato già descritta in dettaglio nel precedente documento del 2024.</w:t>
      </w:r>
    </w:p>
    <w:p w14:paraId="54593566"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 xml:space="preserve">- Il percorso di eccellenza “Ruoli e competenze manageriali per l’azienda Farmaceutica e Biotech - </w:t>
      </w:r>
      <w:proofErr w:type="spellStart"/>
      <w:r>
        <w:t>BioPharma</w:t>
      </w:r>
      <w:proofErr w:type="spellEnd"/>
      <w:r>
        <w:t xml:space="preserve"> Network”. Marzo-maggio 2025.</w:t>
      </w:r>
    </w:p>
    <w:p w14:paraId="7D627559"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-Orientamento di Formazione post-Laurea (corsi di dottorato, scuole di specializzazione, master universitari) con la partecipazione del coordinatore del Corso di Dottorato incardinato presso il Dipartimento di Biotecnologie (15/05/2025</w:t>
      </w:r>
      <w:proofErr w:type="gramStart"/>
      <w:r>
        <w:t>) .</w:t>
      </w:r>
      <w:proofErr w:type="gramEnd"/>
    </w:p>
    <w:p w14:paraId="453CDBBB"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-Presentazione delle attività di ricerca del Dipartimento nel contesto dell'orientamento in uscita per le attività di ricerca e di orientamento per la Tesi magistrale (29/06/2025)</w:t>
      </w:r>
    </w:p>
    <w:p w14:paraId="4AC66D46" w14:textId="77777777" w:rsidR="00A05C15" w:rsidRDefault="00A05C15">
      <w:pPr>
        <w:pBdr>
          <w:top w:val="single" w:sz="6" w:space="0" w:color="000000"/>
          <w:left w:val="single" w:sz="6" w:space="0" w:color="000000"/>
          <w:bottom w:val="single" w:sz="6" w:space="0" w:color="000000"/>
          <w:right w:val="single" w:sz="6" w:space="0" w:color="000000"/>
        </w:pBdr>
        <w:spacing w:after="0" w:line="276" w:lineRule="auto"/>
        <w:jc w:val="both"/>
      </w:pPr>
    </w:p>
    <w:p w14:paraId="395AF630"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 raggiungimento del risultato: &gt; 100 %</w:t>
      </w:r>
    </w:p>
    <w:p w14:paraId="71A36E85" w14:textId="77777777" w:rsidR="00A05C15" w:rsidRDefault="00A05C15">
      <w:pPr>
        <w:pBdr>
          <w:top w:val="nil"/>
          <w:left w:val="nil"/>
          <w:bottom w:val="nil"/>
          <w:right w:val="nil"/>
          <w:between w:val="nil"/>
        </w:pBdr>
        <w:spacing w:after="0"/>
        <w:jc w:val="both"/>
        <w:rPr>
          <w:rFonts w:ascii="Verdana" w:eastAsia="Verdana" w:hAnsi="Verdana" w:cs="Verdana"/>
          <w:sz w:val="28"/>
          <w:szCs w:val="28"/>
        </w:rPr>
      </w:pPr>
    </w:p>
    <w:p w14:paraId="25D3D16A" w14:textId="77777777" w:rsidR="00A05C15" w:rsidRDefault="00865455">
      <w:pPr>
        <w:pBdr>
          <w:top w:val="single" w:sz="6" w:space="1" w:color="000000"/>
          <w:left w:val="single" w:sz="6" w:space="1" w:color="000000"/>
          <w:bottom w:val="single" w:sz="6" w:space="1" w:color="000000"/>
          <w:right w:val="single" w:sz="6" w:space="1" w:color="000000"/>
        </w:pBdr>
        <w:rPr>
          <w:b/>
          <w:bCs/>
        </w:rPr>
      </w:pPr>
      <w:r>
        <w:rPr>
          <w:b/>
          <w:bCs/>
        </w:rPr>
        <w:t>Azione 6: Incremento partecipazione a bandi di finanziamento competitivi</w:t>
      </w:r>
    </w:p>
    <w:p w14:paraId="4A1594F7" w14:textId="77777777" w:rsidR="00A05C15" w:rsidRDefault="00865455">
      <w:pPr>
        <w:pBdr>
          <w:top w:val="single" w:sz="6" w:space="1" w:color="000000"/>
          <w:left w:val="single" w:sz="6" w:space="1" w:color="000000"/>
          <w:bottom w:val="single" w:sz="6" w:space="1" w:color="000000"/>
          <w:right w:val="single" w:sz="6" w:space="1" w:color="000000"/>
        </w:pBdr>
        <w:spacing w:after="0"/>
      </w:pPr>
      <w:proofErr w:type="gramStart"/>
      <w:r>
        <w:rPr>
          <w:b/>
          <w:bCs/>
        </w:rPr>
        <w:t>Ambito:</w:t>
      </w:r>
      <w:r>
        <w:rPr>
          <w:i/>
          <w:iCs/>
        </w:rPr>
        <w:t xml:space="preserve">  Ricerca</w:t>
      </w:r>
      <w:proofErr w:type="gramEnd"/>
    </w:p>
    <w:p w14:paraId="3900B02E"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Obiettivo</w:t>
      </w:r>
      <w:r>
        <w:t xml:space="preserve">: numero di bandi competitivi a cui si applica </w:t>
      </w:r>
    </w:p>
    <w:p w14:paraId="6A73B67D"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Collegamento con PSA</w:t>
      </w:r>
      <w:r>
        <w:t>: Obiettivo 3.3 del Piano Strategico di Ateneo ("Capacità di attrarre fondi da bandi di ricerca competitiva").</w:t>
      </w:r>
      <w:r>
        <w:br/>
        <w:t xml:space="preserve"> Indicatori alternativi: L’indicatore adottato (numero di richieste presentate) è coerente con il PSA, ma declinato su base dipartimentale per una misurazione più diretta e operativa.</w:t>
      </w:r>
    </w:p>
    <w:p w14:paraId="742CDB2F"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 xml:space="preserve">Descrizione dell’obiettivo: </w:t>
      </w:r>
      <w:r>
        <w:t>nel triennio 2020-2022, il Dipartimento ha presentato 207 progetti a bandi competitivi, di cui 29 a bandi internazionali, con una percentuale di partecipazione degli affiliati al Dipartimento del 76%. Con la presente azione si intende aumentare il numero dei progetti presentati mediante una migliore azione di pubblicizzazione dei bandi all’interno del Dipartimento e favorendo la partecipazione dei giovani ricercatori a workshop di carattere tecnologico con un impegno economico da parte del Dipartimento (fino ad un massimo di 10000 euro all’anno).  Questo favorirà l’importazione di nuove tecnologie all’interno del Dipartimento e la competitività.</w:t>
      </w:r>
    </w:p>
    <w:p w14:paraId="77E18AFD" w14:textId="77777777" w:rsidR="00A05C15" w:rsidRDefault="00A05C15">
      <w:pPr>
        <w:pBdr>
          <w:top w:val="single" w:sz="6" w:space="1" w:color="000000"/>
          <w:left w:val="single" w:sz="6" w:space="1" w:color="000000"/>
          <w:bottom w:val="single" w:sz="6" w:space="1" w:color="000000"/>
          <w:right w:val="single" w:sz="6" w:space="1" w:color="000000"/>
        </w:pBdr>
        <w:spacing w:after="0"/>
        <w:rPr>
          <w:b/>
          <w:bCs/>
        </w:rPr>
      </w:pPr>
    </w:p>
    <w:p w14:paraId="229E01ED"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 xml:space="preserve">Indicatore: </w:t>
      </w:r>
      <w:r>
        <w:t>numero di richieste di finanziamento a bandi competitivi</w:t>
      </w:r>
    </w:p>
    <w:p w14:paraId="22BC97DF"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 xml:space="preserve">Target anno 2025: </w:t>
      </w:r>
      <w:r>
        <w:t xml:space="preserve">aumento del 3,5% all'anno nei tre anni presi in considerazione </w:t>
      </w:r>
    </w:p>
    <w:p w14:paraId="381B1762"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 xml:space="preserve">Valore misurato al 31/12/25: </w:t>
      </w:r>
      <w:r>
        <w:t xml:space="preserve">-23% nel triennio di riferimento </w:t>
      </w:r>
    </w:p>
    <w:p w14:paraId="025CEE7C" w14:textId="77777777" w:rsidR="00A05C15" w:rsidRDefault="00865455">
      <w:pPr>
        <w:pBdr>
          <w:top w:val="single" w:sz="6" w:space="1" w:color="000000"/>
          <w:left w:val="single" w:sz="6" w:space="1" w:color="000000"/>
          <w:bottom w:val="single" w:sz="6" w:space="1" w:color="000000"/>
          <w:right w:val="single" w:sz="6" w:space="1" w:color="000000"/>
        </w:pBdr>
        <w:spacing w:before="240" w:after="240"/>
        <w:jc w:val="both"/>
      </w:pPr>
      <w:r>
        <w:t>Il Dipartimento ha continuato a investire con impegno nella promozione della partecipazione ai bandi competitivi. Nel triennio 2023–2025 sono state presentate 122 proposte progettuali, a testimonianza di un’elevata e diffusa capacità di progettazione. Tuttavia, l’obiettivo di incremento previsto per il triennio non è stato raggiunto, anche a causa della riduzione delle opportunità di finanziamento rispetto al periodo precedente, in particolare per il venir meno dell’effetto straordinario associato ai bandi PNRR del 2022.</w:t>
      </w:r>
    </w:p>
    <w:p w14:paraId="4235C365" w14:textId="77777777" w:rsidR="00A05C15" w:rsidRDefault="00865455">
      <w:pPr>
        <w:pBdr>
          <w:top w:val="single" w:sz="6" w:space="1" w:color="000000"/>
          <w:left w:val="single" w:sz="6" w:space="1" w:color="000000"/>
          <w:bottom w:val="single" w:sz="6" w:space="1" w:color="000000"/>
          <w:right w:val="single" w:sz="6" w:space="1" w:color="000000"/>
        </w:pBdr>
        <w:spacing w:before="240" w:after="240"/>
        <w:jc w:val="both"/>
      </w:pPr>
      <w:r>
        <w:t xml:space="preserve">Nonostante ciò, il Dipartimento ha ottenuto il finanziamento di progetti di elevato valore scientifico ed economico, inclusi </w:t>
      </w:r>
      <w:r>
        <w:rPr>
          <w:b/>
          <w:bCs/>
        </w:rPr>
        <w:t xml:space="preserve">tre progetti FIS </w:t>
      </w:r>
      <w:r>
        <w:t>e</w:t>
      </w:r>
      <w:r>
        <w:rPr>
          <w:b/>
          <w:bCs/>
        </w:rPr>
        <w:t xml:space="preserve"> 28 finanziamenti internazionali</w:t>
      </w:r>
      <w:r>
        <w:t>, confermando una solida capacità competitiva in contesti altamente selettivi. Tali risultati riflettono un approccio sempre più orientato alla qualità, alla coerenza strategica e all’impatto delle iniziative proposte.</w:t>
      </w:r>
    </w:p>
    <w:p w14:paraId="2395C3F3" w14:textId="77777777" w:rsidR="00A05C15" w:rsidRDefault="00865455">
      <w:pPr>
        <w:pBdr>
          <w:top w:val="single" w:sz="6" w:space="1" w:color="000000"/>
          <w:left w:val="single" w:sz="6" w:space="1" w:color="000000"/>
          <w:bottom w:val="single" w:sz="6" w:space="1" w:color="000000"/>
          <w:right w:val="single" w:sz="6" w:space="1" w:color="000000"/>
        </w:pBdr>
        <w:spacing w:before="240" w:after="240"/>
        <w:jc w:val="both"/>
      </w:pPr>
      <w:r>
        <w:t xml:space="preserve">In un’ottica di miglioramento continuo e di rafforzamento dell’efficacia progettuale, è stato inoltre stipulato un contratto con la società </w:t>
      </w:r>
      <w:proofErr w:type="spellStart"/>
      <w:r>
        <w:rPr>
          <w:b/>
          <w:bCs/>
        </w:rPr>
        <w:t>Innovayt</w:t>
      </w:r>
      <w:proofErr w:type="spellEnd"/>
      <w:r>
        <w:t>, che fornirà supporto mirato nell’individuazione delle call più idonee e nella preparazione delle proposte progettuali. Si prevede che questa collaborazione contribuisca a un rilancio strategico dell’attività progettuale a partire dal 2026.</w:t>
      </w:r>
    </w:p>
    <w:p w14:paraId="438B0BFB" w14:textId="77777777" w:rsidR="00A05C15" w:rsidRDefault="00865455">
      <w:pPr>
        <w:pBdr>
          <w:top w:val="single" w:sz="6" w:space="1" w:color="000000"/>
          <w:left w:val="single" w:sz="6" w:space="1" w:color="000000"/>
          <w:bottom w:val="single" w:sz="6" w:space="1" w:color="000000"/>
          <w:right w:val="single" w:sz="6" w:space="1" w:color="000000"/>
        </w:pBdr>
        <w:spacing w:after="0"/>
        <w:rPr>
          <w:b/>
          <w:bCs/>
        </w:rPr>
      </w:pPr>
      <w:r>
        <w:rPr>
          <w:b/>
          <w:bCs/>
        </w:rPr>
        <w:t>% raggiungimento del risultato: 10%</w:t>
      </w:r>
    </w:p>
    <w:p w14:paraId="485779B2" w14:textId="77777777" w:rsidR="00033CAC" w:rsidRDefault="00033CAC">
      <w:pPr>
        <w:pBdr>
          <w:top w:val="nil"/>
          <w:left w:val="nil"/>
          <w:bottom w:val="nil"/>
          <w:right w:val="nil"/>
          <w:between w:val="nil"/>
        </w:pBdr>
        <w:spacing w:after="0"/>
        <w:jc w:val="both"/>
        <w:rPr>
          <w:rFonts w:ascii="Verdana" w:eastAsia="Verdana" w:hAnsi="Verdana" w:cs="Verdana"/>
          <w:sz w:val="28"/>
          <w:szCs w:val="28"/>
        </w:rPr>
      </w:pPr>
    </w:p>
    <w:p w14:paraId="5EE46F83" w14:textId="77777777" w:rsidR="00A05C15" w:rsidRDefault="00865455">
      <w:pPr>
        <w:pBdr>
          <w:top w:val="single" w:sz="6" w:space="1" w:color="000000"/>
          <w:left w:val="single" w:sz="6" w:space="1" w:color="000000"/>
          <w:bottom w:val="single" w:sz="6" w:space="1" w:color="000000"/>
          <w:right w:val="single" w:sz="6" w:space="1" w:color="000000"/>
        </w:pBdr>
        <w:rPr>
          <w:b/>
          <w:bCs/>
        </w:rPr>
      </w:pPr>
      <w:r>
        <w:rPr>
          <w:b/>
          <w:bCs/>
        </w:rPr>
        <w:t>Azione 7: Introduzione quaderni di laboratorio elettronici di Dipartimento</w:t>
      </w:r>
    </w:p>
    <w:p w14:paraId="7C96EA39" w14:textId="77777777" w:rsidR="00A05C15" w:rsidRDefault="00865455">
      <w:pPr>
        <w:pBdr>
          <w:top w:val="single" w:sz="6" w:space="1" w:color="000000"/>
          <w:left w:val="single" w:sz="6" w:space="1" w:color="000000"/>
          <w:bottom w:val="single" w:sz="6" w:space="1" w:color="000000"/>
          <w:right w:val="single" w:sz="6" w:space="1" w:color="000000"/>
        </w:pBdr>
        <w:spacing w:after="0"/>
        <w:jc w:val="both"/>
      </w:pPr>
      <w:r>
        <w:rPr>
          <w:b/>
          <w:bCs/>
        </w:rPr>
        <w:t>Ambito:</w:t>
      </w:r>
      <w:r>
        <w:rPr>
          <w:i/>
          <w:iCs/>
        </w:rPr>
        <w:t xml:space="preserve"> Ricerca</w:t>
      </w:r>
    </w:p>
    <w:p w14:paraId="44A493A7" w14:textId="77777777" w:rsidR="00A05C15" w:rsidRDefault="00865455">
      <w:pPr>
        <w:pBdr>
          <w:top w:val="single" w:sz="6" w:space="1" w:color="000000"/>
          <w:left w:val="single" w:sz="6" w:space="1" w:color="000000"/>
          <w:bottom w:val="single" w:sz="6" w:space="1" w:color="000000"/>
          <w:right w:val="single" w:sz="6" w:space="1" w:color="000000"/>
        </w:pBdr>
        <w:spacing w:after="0"/>
        <w:jc w:val="both"/>
      </w:pPr>
      <w:r>
        <w:rPr>
          <w:b/>
          <w:bCs/>
        </w:rPr>
        <w:t>Obiettivo</w:t>
      </w:r>
      <w:r>
        <w:t xml:space="preserve">: numero di iniziative a favore di open science </w:t>
      </w:r>
    </w:p>
    <w:p w14:paraId="78C14CC0" w14:textId="77777777" w:rsidR="00A05C15" w:rsidRDefault="00865455">
      <w:pPr>
        <w:pBdr>
          <w:top w:val="single" w:sz="6" w:space="1" w:color="000000"/>
          <w:left w:val="single" w:sz="6" w:space="1" w:color="000000"/>
          <w:bottom w:val="single" w:sz="6" w:space="1" w:color="000000"/>
          <w:right w:val="single" w:sz="6" w:space="1" w:color="000000"/>
        </w:pBdr>
        <w:spacing w:after="0"/>
        <w:jc w:val="both"/>
      </w:pPr>
      <w:r>
        <w:rPr>
          <w:b/>
          <w:bCs/>
        </w:rPr>
        <w:t>Collegamento con PSA</w:t>
      </w:r>
      <w:r>
        <w:t>: Obiettivo 3.4 del Piano Strategico di Ateneo ("Promozione della partecipazione a reti e partenariati internazionali e Reti ESFRI") e 3.5 ("Autonomia dei giovani ricercatori"), in relazione al rafforzamento dell’infrastruttura di ricerca e alla trasparenza dei dati.</w:t>
      </w:r>
      <w:r>
        <w:br/>
        <w:t xml:space="preserve"> Indicatori alternativi: L’incremento dell’utilizzo dei quaderni elettronici è un indicatore operativo coerente con le strategie Open Science del PSA. </w:t>
      </w:r>
    </w:p>
    <w:p w14:paraId="2AAA4ED9" w14:textId="77777777" w:rsidR="00A05C15" w:rsidRDefault="00865455">
      <w:pPr>
        <w:pBdr>
          <w:top w:val="single" w:sz="6" w:space="1" w:color="000000"/>
          <w:left w:val="single" w:sz="6" w:space="1" w:color="000000"/>
          <w:bottom w:val="single" w:sz="6" w:space="1" w:color="000000"/>
          <w:right w:val="single" w:sz="6" w:space="1" w:color="000000"/>
        </w:pBdr>
        <w:spacing w:after="0"/>
        <w:jc w:val="both"/>
      </w:pPr>
      <w:r>
        <w:rPr>
          <w:b/>
          <w:bCs/>
        </w:rPr>
        <w:t xml:space="preserve">Descrizione dell’obiettivo: </w:t>
      </w:r>
      <w:r>
        <w:t>i quaderni di laboratorio elettronici permettono di documentare in maniera capillare il lavoro di laboratorio e di conservare i dati in maniera trasparente e accessibile a terzi.</w:t>
      </w:r>
    </w:p>
    <w:p w14:paraId="629FA04A" w14:textId="77777777" w:rsidR="00A05C15" w:rsidRDefault="00865455">
      <w:pPr>
        <w:pBdr>
          <w:top w:val="single" w:sz="6" w:space="1" w:color="000000"/>
          <w:left w:val="single" w:sz="6" w:space="1" w:color="000000"/>
          <w:bottom w:val="single" w:sz="6" w:space="1" w:color="000000"/>
          <w:right w:val="single" w:sz="6" w:space="1" w:color="000000"/>
        </w:pBdr>
        <w:spacing w:after="0"/>
        <w:jc w:val="both"/>
      </w:pPr>
      <w:r>
        <w:t xml:space="preserve"> L’azione 7 comprenderà la valutazione di diversi tipi di quaderni elettronici, la selezione dello strumento più idoneo, il training del personale di dipartimento all’uso dello strumento più idoneo selezionato.</w:t>
      </w:r>
    </w:p>
    <w:p w14:paraId="20D51F56" w14:textId="77777777" w:rsidR="00A05C15" w:rsidRDefault="00865455">
      <w:pPr>
        <w:pBdr>
          <w:top w:val="single" w:sz="6" w:space="1" w:color="000000"/>
          <w:left w:val="single" w:sz="6" w:space="1" w:color="000000"/>
          <w:bottom w:val="single" w:sz="6" w:space="1" w:color="000000"/>
          <w:right w:val="single" w:sz="6" w:space="1" w:color="000000"/>
        </w:pBdr>
        <w:spacing w:after="0"/>
        <w:jc w:val="both"/>
      </w:pPr>
      <w:r>
        <w:t xml:space="preserve"> </w:t>
      </w:r>
    </w:p>
    <w:p w14:paraId="2B1FE1A9" w14:textId="77777777" w:rsidR="00A05C15" w:rsidRDefault="00865455">
      <w:pPr>
        <w:pBdr>
          <w:top w:val="single" w:sz="6" w:space="1" w:color="000000"/>
          <w:left w:val="single" w:sz="6" w:space="1" w:color="000000"/>
          <w:bottom w:val="single" w:sz="6" w:space="1" w:color="000000"/>
          <w:right w:val="single" w:sz="6" w:space="1" w:color="000000"/>
        </w:pBdr>
        <w:spacing w:after="0"/>
        <w:jc w:val="both"/>
        <w:rPr>
          <w:b/>
          <w:bCs/>
        </w:rPr>
      </w:pPr>
      <w:r>
        <w:rPr>
          <w:b/>
          <w:bCs/>
        </w:rPr>
        <w:t>Indicatore:</w:t>
      </w:r>
      <w:r>
        <w:t xml:space="preserve"> incremento dell’utilizzo dei quaderni di laboratorio elettronici di Dipartimento</w:t>
      </w:r>
      <w:r>
        <w:rPr>
          <w:b/>
          <w:bCs/>
        </w:rPr>
        <w:t xml:space="preserve"> </w:t>
      </w:r>
    </w:p>
    <w:p w14:paraId="0120EBD0" w14:textId="77777777" w:rsidR="00A05C15" w:rsidRDefault="00865455">
      <w:pPr>
        <w:pBdr>
          <w:top w:val="single" w:sz="6" w:space="1" w:color="000000"/>
          <w:left w:val="single" w:sz="6" w:space="1" w:color="000000"/>
          <w:bottom w:val="single" w:sz="6" w:space="1" w:color="000000"/>
          <w:right w:val="single" w:sz="6" w:space="1" w:color="000000"/>
        </w:pBdr>
        <w:spacing w:after="0"/>
        <w:jc w:val="both"/>
        <w:rPr>
          <w:b/>
          <w:bCs/>
        </w:rPr>
      </w:pPr>
      <w:r>
        <w:rPr>
          <w:b/>
          <w:bCs/>
        </w:rPr>
        <w:t xml:space="preserve">Target anno 2025: </w:t>
      </w:r>
      <w:r>
        <w:t>utilizzo da parte del 50% del personale</w:t>
      </w:r>
      <w:r>
        <w:rPr>
          <w:rFonts w:ascii="Garamond" w:eastAsia="Garamond" w:hAnsi="Garamond" w:cs="Garamond"/>
          <w:b/>
          <w:bCs/>
          <w:sz w:val="21"/>
          <w:szCs w:val="21"/>
        </w:rPr>
        <w:t xml:space="preserve"> </w:t>
      </w:r>
    </w:p>
    <w:p w14:paraId="67032EC0" w14:textId="31EE615D" w:rsidR="00A05C15" w:rsidRDefault="00865455">
      <w:pPr>
        <w:pBdr>
          <w:top w:val="single" w:sz="6" w:space="1" w:color="000000"/>
          <w:left w:val="single" w:sz="6" w:space="1" w:color="000000"/>
          <w:bottom w:val="single" w:sz="6" w:space="1" w:color="000000"/>
          <w:right w:val="single" w:sz="6" w:space="1" w:color="000000"/>
        </w:pBdr>
        <w:spacing w:after="0"/>
        <w:jc w:val="both"/>
        <w:rPr>
          <w:b/>
          <w:bCs/>
        </w:rPr>
      </w:pPr>
      <w:r>
        <w:rPr>
          <w:b/>
          <w:bCs/>
        </w:rPr>
        <w:t>Valore misurato al 31/12/25: 42 accessi su 76 licenze</w:t>
      </w:r>
    </w:p>
    <w:p w14:paraId="2119FAB6" w14:textId="77777777" w:rsidR="0036749B" w:rsidRDefault="0036749B">
      <w:pPr>
        <w:pBdr>
          <w:top w:val="single" w:sz="6" w:space="1" w:color="000000"/>
          <w:left w:val="single" w:sz="6" w:space="1" w:color="000000"/>
          <w:bottom w:val="single" w:sz="6" w:space="1" w:color="000000"/>
          <w:right w:val="single" w:sz="6" w:space="1" w:color="000000"/>
        </w:pBdr>
        <w:spacing w:after="0"/>
        <w:jc w:val="both"/>
        <w:rPr>
          <w:b/>
          <w:bCs/>
        </w:rPr>
      </w:pPr>
    </w:p>
    <w:p w14:paraId="002571B1" w14:textId="77777777" w:rsidR="00A05C15" w:rsidRDefault="00865455">
      <w:pPr>
        <w:pBdr>
          <w:top w:val="single" w:sz="6" w:space="1" w:color="000000"/>
          <w:left w:val="single" w:sz="6" w:space="1" w:color="000000"/>
          <w:bottom w:val="single" w:sz="6" w:space="1" w:color="000000"/>
          <w:right w:val="single" w:sz="6" w:space="1" w:color="000000"/>
        </w:pBdr>
        <w:spacing w:after="0"/>
        <w:jc w:val="both"/>
        <w:rPr>
          <w:rFonts w:ascii="Verdana" w:eastAsia="Verdana" w:hAnsi="Verdana" w:cs="Verdana"/>
          <w:b/>
          <w:bCs/>
          <w:sz w:val="28"/>
          <w:szCs w:val="28"/>
        </w:rPr>
      </w:pPr>
      <w:r>
        <w:rPr>
          <w:b/>
          <w:bCs/>
        </w:rPr>
        <w:t xml:space="preserve"> % raggiungimento del risultato: 100%</w:t>
      </w:r>
    </w:p>
    <w:p w14:paraId="37874E7F" w14:textId="77777777" w:rsidR="00A05C15" w:rsidRDefault="00A05C15">
      <w:pPr>
        <w:pBdr>
          <w:top w:val="nil"/>
          <w:left w:val="nil"/>
          <w:bottom w:val="nil"/>
          <w:right w:val="nil"/>
          <w:between w:val="nil"/>
        </w:pBdr>
        <w:spacing w:after="0"/>
        <w:jc w:val="both"/>
        <w:rPr>
          <w:rFonts w:ascii="Verdana" w:eastAsia="Verdana" w:hAnsi="Verdana" w:cs="Verdana"/>
          <w:sz w:val="28"/>
          <w:szCs w:val="28"/>
        </w:rPr>
      </w:pPr>
    </w:p>
    <w:p w14:paraId="5CDB24A5"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Azione 8: Incremento delle attività di public engagement</w:t>
      </w:r>
    </w:p>
    <w:p w14:paraId="5E19B33E"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rPr>
          <w:b/>
          <w:bCs/>
        </w:rPr>
        <w:t>Ambito:</w:t>
      </w:r>
      <w:r>
        <w:rPr>
          <w:b/>
          <w:bCs/>
          <w:i/>
          <w:iCs/>
        </w:rPr>
        <w:t xml:space="preserve"> </w:t>
      </w:r>
      <w:r>
        <w:rPr>
          <w:b/>
          <w:bCs/>
        </w:rPr>
        <w:t>Terza missione</w:t>
      </w:r>
    </w:p>
    <w:p w14:paraId="1AFE418B"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rPr>
          <w:b/>
          <w:bCs/>
        </w:rPr>
      </w:pPr>
      <w:r>
        <w:rPr>
          <w:b/>
          <w:bCs/>
        </w:rPr>
        <w:t>Obiettivo: Numero di azioni di public engagement</w:t>
      </w:r>
      <w:r>
        <w:rPr>
          <w:b/>
          <w:bCs/>
        </w:rPr>
        <w:br/>
      </w:r>
    </w:p>
    <w:p w14:paraId="27253A2E"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Descrizione: </w:t>
      </w:r>
      <w:r>
        <w:t>L’azione mira a rafforzare il dialogo tra Dipartimento, società civile e territorio, favorendo la partecipazione attiva degli stakeholder ai processi di ricerca e innovazione e promuovendo collaborazione e co-progettazione per trasformare la ricerca in valore sociale. L’iniziativa intende potenziare strumenti di Ricerca e Innovazione Responsabile (RRI), facilitare l’accesso alle infrastrutture dipartimentali e stimolare nuove progettualità con imprese ed enti. Sono inoltre previste attività di formazione e divulgazione per cittadini e studenti su temi chiave (One Health, transizione ecologica, prevenzione), anche attraverso format innovativi di teatro-scienza, e workshop interni per sviluppare competenze di public engagement.</w:t>
      </w:r>
    </w:p>
    <w:p w14:paraId="5A35B187"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rPr>
          <w:b/>
          <w:bCs/>
        </w:rPr>
      </w:pPr>
      <w:r>
        <w:t>Indicatori: Numero di attività effettuate; numero di partecipanti, numero di progetti; numero di interazione per progetto;</w:t>
      </w:r>
      <w:r>
        <w:rPr>
          <w:b/>
          <w:bCs/>
        </w:rPr>
        <w:t xml:space="preserve">  </w:t>
      </w:r>
    </w:p>
    <w:p w14:paraId="58E8786F"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Target anno 2025: </w:t>
      </w:r>
      <w:r>
        <w:t>Aumento del 20% delle attività; aumento del numero e tipologia di partecipanti.</w:t>
      </w:r>
    </w:p>
    <w:p w14:paraId="696125D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t>Valore misurato al 31/12/25:</w:t>
      </w:r>
    </w:p>
    <w:p w14:paraId="4EF5C268" w14:textId="77777777" w:rsidR="00A05C15" w:rsidRDefault="00865455">
      <w:pPr>
        <w:pBdr>
          <w:top w:val="single" w:sz="6" w:space="0" w:color="000000"/>
          <w:left w:val="single" w:sz="6" w:space="0" w:color="000000"/>
          <w:bottom w:val="single" w:sz="6" w:space="0" w:color="000000"/>
          <w:right w:val="single" w:sz="6" w:space="0" w:color="000000"/>
        </w:pBdr>
        <w:spacing w:after="0" w:line="276" w:lineRule="auto"/>
        <w:jc w:val="both"/>
      </w:pPr>
      <w:r>
        <w:rPr>
          <w:b/>
          <w:bCs/>
        </w:rPr>
        <w:t xml:space="preserve">% raggiungimento del risultato: </w:t>
      </w:r>
      <w:r>
        <w:t xml:space="preserve">40%. Il dipartimento ha incrementato le azioni di Public engagement oltre le aspettative con almeno due grandi eventi aggregativi e condivisi con altre realtà di UNIMIB e di altri Atenei. Ha inoltre intrapreso azioni di comunicazione e formazione su importanti canali televisivi </w:t>
      </w:r>
    </w:p>
    <w:p w14:paraId="4530020C" w14:textId="77777777" w:rsidR="00A05C15" w:rsidRDefault="00865455">
      <w:pPr>
        <w:pBdr>
          <w:top w:val="single" w:sz="6" w:space="0" w:color="000000"/>
          <w:left w:val="single" w:sz="6" w:space="0" w:color="000000"/>
          <w:bottom w:val="single" w:sz="6" w:space="0" w:color="000000"/>
          <w:right w:val="single" w:sz="6" w:space="0" w:color="000000"/>
        </w:pBdr>
        <w:spacing w:before="240" w:after="240" w:line="276" w:lineRule="auto"/>
        <w:jc w:val="both"/>
      </w:pPr>
      <w:r>
        <w:t>Nel corso del 2025, le attività di Terza Missione del Dipartimento sono state coordinate in modo più strutturato ed efficace, con l’obiettivo di valorizzare le competenze scientifiche del Dipartimento e, al contempo, raggiungere pubblici differenti, favorendo la condivisione dei percorsi di ricerca e innovazione. Nel quadro della Ricerca e Innovazione Responsabile (RRI) sono state avviate iniziative nuove e particolarmente efficaci, tra cui “Stand Up Science”, che ha visto la partecipazione di 18 giovani ricercatrici e ricercatori impegnati nella presentazione delle proprie idee e nel confronto con una platea ampia composta da innovatori, rappresentanti istituzionali, imprenditori e altri scienziati. L’iniziativa ha permesso non solo di condividere i risultati della ricerca, ma anche di testare un metodo innovativo di dialogo, utile a riconsiderare linee di ricerca e innovazione sulla base dei feedback raccolti.</w:t>
      </w:r>
    </w:p>
    <w:p w14:paraId="5DCB6046" w14:textId="77777777" w:rsidR="00A05C15" w:rsidRDefault="00865455">
      <w:pPr>
        <w:pBdr>
          <w:top w:val="single" w:sz="6" w:space="0" w:color="000000"/>
          <w:left w:val="single" w:sz="6" w:space="0" w:color="000000"/>
          <w:bottom w:val="single" w:sz="6" w:space="0" w:color="000000"/>
          <w:right w:val="single" w:sz="6" w:space="0" w:color="000000"/>
        </w:pBdr>
        <w:spacing w:before="240" w:after="240" w:line="276" w:lineRule="auto"/>
        <w:jc w:val="both"/>
      </w:pPr>
      <w:r>
        <w:t xml:space="preserve">Un secondo evento di rilievo è stato “Mettiamoci in piazza”, nel quale i ricercatori, presentando alcune attività di ricerca, hanno favorito il dialogo con il pubblico e raccolto osservazioni utili per eventuali riorientamenti delle attività scientifiche. Tra le iniziative di public engagement si segnalano inoltre le attività teatrali, che hanno coinvolto numerosi docenti del Dipartimento, e il coordinamento e la realizzazione di un programma televisivo interamente dedicato alla biodiversità, </w:t>
      </w:r>
      <w:r>
        <w:rPr>
          <w:i/>
          <w:iCs/>
        </w:rPr>
        <w:t>Il Paese della Biodiversità</w:t>
      </w:r>
      <w:r>
        <w:t>, articolato in 16 puntate su Rai Scuola, con particolare attenzione ai temi della rigenerazione urbana sostenibile.</w:t>
      </w:r>
    </w:p>
    <w:p w14:paraId="5E393611" w14:textId="77777777" w:rsidR="00A05C15" w:rsidRPr="0038032C" w:rsidRDefault="00865455" w:rsidP="0038032C">
      <w:pPr>
        <w:pBdr>
          <w:top w:val="single" w:sz="6" w:space="0" w:color="000000"/>
          <w:left w:val="single" w:sz="6" w:space="0" w:color="000000"/>
          <w:bottom w:val="single" w:sz="6" w:space="0" w:color="000000"/>
          <w:right w:val="single" w:sz="6" w:space="0" w:color="000000"/>
        </w:pBdr>
        <w:spacing w:before="240" w:after="240" w:line="276" w:lineRule="auto"/>
        <w:jc w:val="both"/>
      </w:pPr>
      <w:r>
        <w:t>Ulteriori azioni hanno riguardato la partecipazione dei docenti alle attività di orientamento, supportate dalla produzione di materiali di comunicazione dedicati, contribuendo a rafforzare il dialogo con studenti e futuri iscritti.</w:t>
      </w:r>
    </w:p>
    <w:p w14:paraId="53DC25CE" w14:textId="77777777" w:rsidR="00A05C15" w:rsidRDefault="00865455">
      <w:pPr>
        <w:pBdr>
          <w:top w:val="single" w:sz="6" w:space="1" w:color="000000"/>
          <w:left w:val="single" w:sz="6" w:space="1" w:color="000000"/>
          <w:bottom w:val="single" w:sz="6" w:space="1" w:color="000000"/>
          <w:right w:val="single" w:sz="6" w:space="1" w:color="000000"/>
        </w:pBdr>
        <w:rPr>
          <w:b/>
          <w:bCs/>
        </w:rPr>
      </w:pPr>
      <w:r>
        <w:rPr>
          <w:b/>
          <w:bCs/>
        </w:rPr>
        <w:t>Azione 9: Aumentare la mobilità degli studenti</w:t>
      </w:r>
    </w:p>
    <w:p w14:paraId="3FA344CD"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Ambito:</w:t>
      </w:r>
      <w:r>
        <w:rPr>
          <w:i/>
          <w:iCs/>
        </w:rPr>
        <w:t xml:space="preserve"> Internazionalizzazione</w:t>
      </w:r>
    </w:p>
    <w:p w14:paraId="759334B3"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Obiettivo</w:t>
      </w:r>
      <w:r>
        <w:t>: Numero di studenti Incoming/</w:t>
      </w:r>
      <w:proofErr w:type="spellStart"/>
      <w:r>
        <w:t>Outgoing</w:t>
      </w:r>
      <w:proofErr w:type="spellEnd"/>
    </w:p>
    <w:p w14:paraId="2B59BB21" w14:textId="77777777" w:rsidR="00A05C15" w:rsidRDefault="00865455">
      <w:pPr>
        <w:pBdr>
          <w:top w:val="single" w:sz="6" w:space="1" w:color="000000"/>
          <w:left w:val="single" w:sz="6" w:space="1" w:color="000000"/>
          <w:bottom w:val="single" w:sz="6" w:space="1" w:color="000000"/>
          <w:right w:val="single" w:sz="6" w:space="1" w:color="000000"/>
        </w:pBdr>
        <w:spacing w:after="0"/>
        <w:rPr>
          <w:b/>
          <w:bCs/>
        </w:rPr>
      </w:pPr>
      <w:r>
        <w:rPr>
          <w:b/>
          <w:bCs/>
        </w:rPr>
        <w:t xml:space="preserve">Descrizione dell’obiettivo: </w:t>
      </w:r>
      <w:r>
        <w:t xml:space="preserve">Aumentare il numero degli studenti in entrata ed in uscita per i CdS afferenti al Dipartimento, in linea con il PSA, attraverso un miglioramento dell’attività di informazione degli studenti/esse per quanto riguarda le opportunità di mobilità internazionale; la sensibilizzazione attraverso incontri con </w:t>
      </w:r>
      <w:proofErr w:type="spellStart"/>
      <w:r>
        <w:t>alumni</w:t>
      </w:r>
      <w:proofErr w:type="spellEnd"/>
      <w:r>
        <w:t xml:space="preserve"> testimonial; e l’incremento degli accordi con Atenei esteri. </w:t>
      </w:r>
    </w:p>
    <w:p w14:paraId="2C6C9D75"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Indicatore:</w:t>
      </w:r>
      <w:r>
        <w:t xml:space="preserve"> numero di studenti incoming e </w:t>
      </w:r>
      <w:proofErr w:type="spellStart"/>
      <w:r>
        <w:t>outgoing</w:t>
      </w:r>
      <w:proofErr w:type="spellEnd"/>
      <w:r>
        <w:t xml:space="preserve"> all’anno  </w:t>
      </w:r>
    </w:p>
    <w:p w14:paraId="5DE15B62" w14:textId="77777777" w:rsidR="00A05C15" w:rsidRDefault="00A05C15">
      <w:pPr>
        <w:pBdr>
          <w:top w:val="single" w:sz="6" w:space="1" w:color="000000"/>
          <w:left w:val="single" w:sz="6" w:space="1" w:color="000000"/>
          <w:bottom w:val="single" w:sz="6" w:space="1" w:color="000000"/>
          <w:right w:val="single" w:sz="6" w:space="1" w:color="000000"/>
        </w:pBdr>
        <w:spacing w:after="0"/>
      </w:pPr>
    </w:p>
    <w:p w14:paraId="297B9C30" w14:textId="77777777" w:rsidR="00A05C15" w:rsidRDefault="00865455">
      <w:pPr>
        <w:pBdr>
          <w:top w:val="single" w:sz="6" w:space="1" w:color="000000"/>
          <w:left w:val="single" w:sz="6" w:space="1" w:color="000000"/>
          <w:bottom w:val="single" w:sz="6" w:space="1" w:color="000000"/>
          <w:right w:val="single" w:sz="6" w:space="1" w:color="000000"/>
        </w:pBdr>
        <w:spacing w:after="0"/>
      </w:pPr>
      <w:r>
        <w:t xml:space="preserve">Nel corso del 2025 sono state svolte diverse attività di orientamento per promuovere la partecipazione ai bandi Erasmus e al programma di Doppia Laurea in convenzione con </w:t>
      </w:r>
      <w:proofErr w:type="spellStart"/>
      <w:r>
        <w:t>Université</w:t>
      </w:r>
      <w:proofErr w:type="spellEnd"/>
      <w:r>
        <w:t xml:space="preserve"> Paris </w:t>
      </w:r>
      <w:proofErr w:type="spellStart"/>
      <w:r>
        <w:t>Cité</w:t>
      </w:r>
      <w:proofErr w:type="spellEnd"/>
      <w:r>
        <w:t xml:space="preserve">. In particolare, i CdS hanno erogato eventi di orientamento per l’internazionalizzazione in data 14/01/2025 (per Erasmus+ Studio, Erasmus+ </w:t>
      </w:r>
      <w:proofErr w:type="spellStart"/>
      <w:r>
        <w:t>Traineeship</w:t>
      </w:r>
      <w:proofErr w:type="spellEnd"/>
      <w:r>
        <w:t xml:space="preserve"> e Extra-EU), 15/05/2025 (evento specifico per Erasmus+ </w:t>
      </w:r>
      <w:proofErr w:type="spellStart"/>
      <w:r>
        <w:t>Traineeship</w:t>
      </w:r>
      <w:proofErr w:type="spellEnd"/>
      <w:r>
        <w:t xml:space="preserve"> e Extra-EU) e 23/09/2025 (per il programma di Doppia Laurea).   </w:t>
      </w:r>
    </w:p>
    <w:p w14:paraId="0623B243" w14:textId="77777777" w:rsidR="00A05C15" w:rsidRDefault="00865455">
      <w:pPr>
        <w:pBdr>
          <w:top w:val="single" w:sz="6" w:space="1" w:color="000000"/>
          <w:left w:val="single" w:sz="6" w:space="1" w:color="000000"/>
          <w:bottom w:val="single" w:sz="6" w:space="1" w:color="000000"/>
          <w:right w:val="single" w:sz="6" w:space="1" w:color="000000"/>
        </w:pBdr>
        <w:spacing w:after="0"/>
      </w:pPr>
      <w:r>
        <w:t>Inoltre, per favorire un incremento degli studenti Incoming, i CdS del Dipartimento stanno incrementando il numero di insegnamenti tenuti in lingua inglese oppure che possono essere tenuti in lingua inglese in presenza di studenti stranieri. Si è anche cercato di concentrare per quanto possibile l’offerta di corsi in lingua inglese all’interno dello stesso semestre in modo da concentrare l’offerta.</w:t>
      </w:r>
    </w:p>
    <w:p w14:paraId="227A5922" w14:textId="77777777" w:rsidR="00A05C15" w:rsidRDefault="00A05C15">
      <w:pPr>
        <w:pBdr>
          <w:top w:val="single" w:sz="6" w:space="1" w:color="000000"/>
          <w:left w:val="single" w:sz="6" w:space="1" w:color="000000"/>
          <w:bottom w:val="single" w:sz="6" w:space="1" w:color="000000"/>
          <w:right w:val="single" w:sz="6" w:space="1" w:color="000000"/>
        </w:pBdr>
        <w:spacing w:after="0" w:line="240" w:lineRule="auto"/>
        <w:jc w:val="both"/>
      </w:pPr>
    </w:p>
    <w:p w14:paraId="4ABA27F2" w14:textId="77777777" w:rsidR="00A05C15" w:rsidRDefault="00865455">
      <w:pPr>
        <w:pBdr>
          <w:top w:val="single" w:sz="6" w:space="1" w:color="000000"/>
          <w:left w:val="single" w:sz="6" w:space="1" w:color="000000"/>
          <w:bottom w:val="single" w:sz="6" w:space="1" w:color="000000"/>
          <w:right w:val="single" w:sz="6" w:space="1" w:color="000000"/>
        </w:pBdr>
        <w:spacing w:after="0" w:line="240" w:lineRule="auto"/>
        <w:jc w:val="both"/>
      </w:pPr>
      <w:r>
        <w:t>Si riporta l’andamento temporale del numero degli studenti Incoming/</w:t>
      </w:r>
      <w:proofErr w:type="spellStart"/>
      <w:r>
        <w:t>Outgoing</w:t>
      </w:r>
      <w:proofErr w:type="spellEnd"/>
      <w:r>
        <w:t xml:space="preserve"> degli ultimi anni secondo i dati forniti dall’UFFICIO ERASMUS (ripartiti per anno accademico).</w:t>
      </w:r>
    </w:p>
    <w:p w14:paraId="629B4A66" w14:textId="77777777" w:rsidR="00A05C15" w:rsidRDefault="00865455">
      <w:pPr>
        <w:pBdr>
          <w:top w:val="single" w:sz="6" w:space="1" w:color="000000"/>
          <w:left w:val="single" w:sz="6" w:space="1" w:color="000000"/>
          <w:bottom w:val="single" w:sz="6" w:space="1" w:color="000000"/>
          <w:right w:val="single" w:sz="6" w:space="1" w:color="000000"/>
        </w:pBdr>
        <w:spacing w:after="0" w:line="240" w:lineRule="auto"/>
        <w:jc w:val="both"/>
      </w:pPr>
      <w:r>
        <w:t xml:space="preserve">-Incoming 2023/2024 n.13; 2024/2025 n. 18; 2025/2026 n. 12 (dato parziale). </w:t>
      </w:r>
    </w:p>
    <w:p w14:paraId="7A8222F0" w14:textId="77777777" w:rsidR="00A05C15" w:rsidRDefault="00865455">
      <w:pPr>
        <w:pBdr>
          <w:top w:val="single" w:sz="6" w:space="1" w:color="000000"/>
          <w:left w:val="single" w:sz="6" w:space="1" w:color="000000"/>
          <w:bottom w:val="single" w:sz="6" w:space="1" w:color="000000"/>
          <w:right w:val="single" w:sz="6" w:space="1" w:color="000000"/>
        </w:pBdr>
        <w:spacing w:after="0" w:line="240" w:lineRule="auto"/>
        <w:jc w:val="both"/>
      </w:pPr>
      <w:r>
        <w:t>-</w:t>
      </w:r>
      <w:proofErr w:type="spellStart"/>
      <w:r>
        <w:t>Outgoing</w:t>
      </w:r>
      <w:proofErr w:type="spellEnd"/>
      <w:r>
        <w:t xml:space="preserve"> 2023/2024 n.41; 2024/2025 n. 45; 2025/2026 n.32 (dato parziale). </w:t>
      </w:r>
    </w:p>
    <w:p w14:paraId="6D834300" w14:textId="77777777" w:rsidR="00A05C15" w:rsidRDefault="00A05C15">
      <w:pPr>
        <w:pBdr>
          <w:top w:val="single" w:sz="6" w:space="1" w:color="000000"/>
          <w:left w:val="single" w:sz="6" w:space="1" w:color="000000"/>
          <w:bottom w:val="single" w:sz="6" w:space="1" w:color="000000"/>
          <w:right w:val="single" w:sz="6" w:space="1" w:color="000000"/>
        </w:pBdr>
        <w:spacing w:after="0"/>
      </w:pPr>
    </w:p>
    <w:p w14:paraId="5FAE53E7" w14:textId="77777777" w:rsidR="00A05C15" w:rsidRDefault="00865455">
      <w:pPr>
        <w:pBdr>
          <w:top w:val="single" w:sz="6" w:space="1" w:color="000000"/>
          <w:left w:val="single" w:sz="6" w:space="1" w:color="000000"/>
          <w:bottom w:val="single" w:sz="6" w:space="1" w:color="000000"/>
          <w:right w:val="single" w:sz="6" w:space="1" w:color="000000"/>
        </w:pBdr>
        <w:spacing w:after="0"/>
        <w:rPr>
          <w:b/>
          <w:bCs/>
        </w:rPr>
      </w:pPr>
      <w:r>
        <w:rPr>
          <w:b/>
          <w:bCs/>
        </w:rPr>
        <w:t xml:space="preserve">Target anno 2025: </w:t>
      </w:r>
      <w:r>
        <w:t xml:space="preserve">Valore di riferimento ex ante (2022/2023) incoming 16, </w:t>
      </w:r>
      <w:proofErr w:type="spellStart"/>
      <w:r>
        <w:t>outgoing</w:t>
      </w:r>
      <w:proofErr w:type="spellEnd"/>
      <w:r>
        <w:t xml:space="preserve"> 28. Valore Target previsto (2025): Studenti in entrata 17 (+ 8%); Studenti in uscita 31 (+ 10%)</w:t>
      </w:r>
    </w:p>
    <w:p w14:paraId="3DD5BD54" w14:textId="77777777" w:rsidR="00A05C15" w:rsidRDefault="00A05C15">
      <w:pPr>
        <w:pBdr>
          <w:top w:val="single" w:sz="6" w:space="1" w:color="000000"/>
          <w:left w:val="single" w:sz="6" w:space="1" w:color="000000"/>
          <w:bottom w:val="single" w:sz="6" w:space="1" w:color="000000"/>
          <w:right w:val="single" w:sz="6" w:space="1" w:color="000000"/>
        </w:pBdr>
        <w:spacing w:after="0"/>
        <w:rPr>
          <w:b/>
          <w:bCs/>
          <w:highlight w:val="yellow"/>
        </w:rPr>
      </w:pPr>
    </w:p>
    <w:p w14:paraId="4BCD1562" w14:textId="77777777" w:rsidR="00A05C15" w:rsidRDefault="00865455">
      <w:pPr>
        <w:pBdr>
          <w:top w:val="single" w:sz="6" w:space="1" w:color="000000"/>
          <w:left w:val="single" w:sz="6" w:space="1" w:color="000000"/>
          <w:bottom w:val="single" w:sz="6" w:space="1" w:color="000000"/>
          <w:right w:val="single" w:sz="6" w:space="1" w:color="000000"/>
        </w:pBdr>
        <w:spacing w:after="0"/>
      </w:pPr>
      <w:r>
        <w:t xml:space="preserve">Il dato relativo al 2024/2025 raggiunge il target prefissato per incoming e </w:t>
      </w:r>
      <w:proofErr w:type="spellStart"/>
      <w:r>
        <w:t>outgoing</w:t>
      </w:r>
      <w:proofErr w:type="spellEnd"/>
      <w:r>
        <w:t xml:space="preserve">. </w:t>
      </w:r>
    </w:p>
    <w:p w14:paraId="15BA3096" w14:textId="77777777" w:rsidR="00A05C15" w:rsidRDefault="00865455">
      <w:pPr>
        <w:pBdr>
          <w:top w:val="single" w:sz="6" w:space="1" w:color="000000"/>
          <w:left w:val="single" w:sz="6" w:space="1" w:color="000000"/>
          <w:bottom w:val="single" w:sz="6" w:space="1" w:color="000000"/>
          <w:right w:val="single" w:sz="6" w:space="1" w:color="000000"/>
        </w:pBdr>
        <w:spacing w:after="0"/>
      </w:pPr>
      <w:r>
        <w:t xml:space="preserve">Per il 2025/2026 i dati non sono ancora consolidati e sono indicativi del raggiungimento del target solo per gli studenti </w:t>
      </w:r>
      <w:proofErr w:type="spellStart"/>
      <w:r>
        <w:t>outgoing</w:t>
      </w:r>
      <w:proofErr w:type="spellEnd"/>
      <w:r>
        <w:t xml:space="preserve"> ma non ancora per gli incoming. Tuttavia il trend per i primi sei mesi è positivo.</w:t>
      </w:r>
    </w:p>
    <w:p w14:paraId="22E6B81F" w14:textId="77777777" w:rsidR="00A05C15" w:rsidRDefault="00865455">
      <w:pPr>
        <w:pBdr>
          <w:top w:val="single" w:sz="6" w:space="1" w:color="000000"/>
          <w:left w:val="single" w:sz="6" w:space="1" w:color="000000"/>
          <w:bottom w:val="single" w:sz="6" w:space="1" w:color="000000"/>
          <w:right w:val="single" w:sz="6" w:space="1" w:color="000000"/>
        </w:pBdr>
        <w:spacing w:after="0"/>
      </w:pPr>
      <w:r>
        <w:t>Bisognerà aspettare i dati consolidati per una reale valutazione della percentuale di raggiungimento del risultato. Il Dipartimento intende mettere in atto ogni possibile azione per migliorare continuamente l'internazionalizzazione dei propri CdS.</w:t>
      </w:r>
    </w:p>
    <w:p w14:paraId="083237A2" w14:textId="77777777" w:rsidR="00A05C15" w:rsidRDefault="00A05C15">
      <w:pPr>
        <w:pBdr>
          <w:top w:val="single" w:sz="6" w:space="1" w:color="000000"/>
          <w:left w:val="single" w:sz="6" w:space="1" w:color="000000"/>
          <w:bottom w:val="single" w:sz="6" w:space="1" w:color="000000"/>
          <w:right w:val="single" w:sz="6" w:space="1" w:color="000000"/>
        </w:pBdr>
        <w:spacing w:after="0"/>
      </w:pPr>
    </w:p>
    <w:p w14:paraId="098D0870" w14:textId="77777777" w:rsidR="00A05C15" w:rsidRDefault="00865455">
      <w:pPr>
        <w:pBdr>
          <w:top w:val="single" w:sz="6" w:space="1" w:color="000000"/>
          <w:left w:val="single" w:sz="6" w:space="1" w:color="000000"/>
          <w:bottom w:val="single" w:sz="6" w:space="1" w:color="000000"/>
          <w:right w:val="single" w:sz="6" w:space="1" w:color="000000"/>
        </w:pBdr>
        <w:spacing w:after="0"/>
        <w:rPr>
          <w:b/>
          <w:bCs/>
        </w:rPr>
      </w:pPr>
      <w:r>
        <w:rPr>
          <w:b/>
          <w:bCs/>
        </w:rPr>
        <w:t>% raggiungimento del risultato: 50%</w:t>
      </w:r>
    </w:p>
    <w:p w14:paraId="02896837" w14:textId="77777777" w:rsidR="00172630" w:rsidRDefault="00172630">
      <w:pPr>
        <w:pBdr>
          <w:top w:val="single" w:sz="6" w:space="1" w:color="000000"/>
          <w:left w:val="single" w:sz="6" w:space="1" w:color="000000"/>
          <w:bottom w:val="single" w:sz="6" w:space="1" w:color="000000"/>
          <w:right w:val="single" w:sz="6" w:space="1" w:color="000000"/>
        </w:pBdr>
        <w:spacing w:after="0"/>
        <w:rPr>
          <w:b/>
          <w:bCs/>
        </w:rPr>
      </w:pPr>
      <w:r>
        <w:t xml:space="preserve">Il valore del 50% di raggiungimento è attribuito in via prudenziale, in </w:t>
      </w:r>
      <w:r w:rsidR="006A7282">
        <w:t xml:space="preserve">quanto, come sopra esplicitato, </w:t>
      </w:r>
      <w:r>
        <w:t>i dati relativi all’anno 2025/2026 non sono ancora consolidati. La valutazione complessiva del triennio potrà pertanto essere effettuata solo a chiusura definitiva del periodo di riferimento.</w:t>
      </w:r>
    </w:p>
    <w:p w14:paraId="71D4025F" w14:textId="77777777" w:rsidR="00434DB9" w:rsidRDefault="00434DB9">
      <w:pPr>
        <w:pBdr>
          <w:top w:val="nil"/>
          <w:left w:val="nil"/>
          <w:bottom w:val="nil"/>
          <w:right w:val="nil"/>
          <w:between w:val="nil"/>
        </w:pBdr>
        <w:spacing w:after="0"/>
        <w:jc w:val="both"/>
        <w:rPr>
          <w:rFonts w:ascii="Verdana" w:eastAsia="Verdana" w:hAnsi="Verdana" w:cs="Verdana"/>
          <w:sz w:val="28"/>
          <w:szCs w:val="28"/>
        </w:rPr>
      </w:pPr>
    </w:p>
    <w:p w14:paraId="6D6BE135" w14:textId="77777777" w:rsidR="00A05C15" w:rsidRDefault="00865455">
      <w:pPr>
        <w:pBdr>
          <w:top w:val="single" w:sz="6" w:space="1" w:color="000000"/>
          <w:left w:val="single" w:sz="6" w:space="1" w:color="000000"/>
          <w:bottom w:val="single" w:sz="6" w:space="1" w:color="000000"/>
          <w:right w:val="single" w:sz="6" w:space="1" w:color="000000"/>
        </w:pBdr>
        <w:rPr>
          <w:b/>
          <w:bCs/>
        </w:rPr>
      </w:pPr>
      <w:r>
        <w:rPr>
          <w:b/>
          <w:bCs/>
        </w:rPr>
        <w:t>Azione 10: Aumentare numero di chiamate esterne</w:t>
      </w:r>
    </w:p>
    <w:p w14:paraId="5EABA144"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Ambito:</w:t>
      </w:r>
      <w:r>
        <w:rPr>
          <w:i/>
          <w:iCs/>
        </w:rPr>
        <w:t xml:space="preserve"> Capitale umano</w:t>
      </w:r>
    </w:p>
    <w:p w14:paraId="7956A702"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Obiettivo</w:t>
      </w:r>
      <w:r>
        <w:t xml:space="preserve">: numero di chiamate esterne </w:t>
      </w:r>
    </w:p>
    <w:p w14:paraId="0C51FADB"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Collegamento con PSA</w:t>
      </w:r>
      <w:r>
        <w:t>: Obiettivo 7.1 del Piano Strategico di Ateneo ("Pianificazione del personale docente").</w:t>
      </w:r>
      <w:r>
        <w:br/>
        <w:t xml:space="preserve"> Indicatori alternativi: L’indicatore adottato (numero di unità di personale docente provenienti da altri atenei) è coerente con l’obiettivo PSA, ma maggiormente centrato sull’effettiva attrattività esterna del Dipartimento.</w:t>
      </w:r>
    </w:p>
    <w:p w14:paraId="4011523D"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 xml:space="preserve">Descrizione dell’obiettivo: </w:t>
      </w:r>
      <w:r>
        <w:t>aumentare il numero di chiamate di esterni sia a livello di Professori Ordinari che di Professori Associati</w:t>
      </w:r>
    </w:p>
    <w:p w14:paraId="738CCE37" w14:textId="77777777" w:rsidR="00A05C15" w:rsidRDefault="00865455">
      <w:pPr>
        <w:pBdr>
          <w:top w:val="single" w:sz="6" w:space="1" w:color="000000"/>
          <w:left w:val="single" w:sz="6" w:space="1" w:color="000000"/>
          <w:bottom w:val="single" w:sz="6" w:space="1" w:color="000000"/>
          <w:right w:val="single" w:sz="6" w:space="1" w:color="000000"/>
        </w:pBdr>
        <w:spacing w:after="0"/>
        <w:rPr>
          <w:b/>
          <w:bCs/>
        </w:rPr>
      </w:pPr>
      <w:r>
        <w:rPr>
          <w:b/>
          <w:bCs/>
        </w:rPr>
        <w:t>Indicatore: numero di unità di personale docente provenienti dall’esterno dell’Ateneo</w:t>
      </w:r>
    </w:p>
    <w:p w14:paraId="7BD00EEF" w14:textId="77777777" w:rsidR="00A05C15" w:rsidRDefault="00865455">
      <w:pPr>
        <w:pBdr>
          <w:top w:val="single" w:sz="6" w:space="1" w:color="000000"/>
          <w:left w:val="single" w:sz="6" w:space="1" w:color="000000"/>
          <w:bottom w:val="single" w:sz="6" w:space="1" w:color="000000"/>
          <w:right w:val="single" w:sz="6" w:space="1" w:color="000000"/>
        </w:pBdr>
        <w:spacing w:after="0"/>
      </w:pPr>
      <w:r>
        <w:rPr>
          <w:b/>
          <w:bCs/>
        </w:rPr>
        <w:t xml:space="preserve">Target anno 2025: </w:t>
      </w:r>
      <w:r>
        <w:t>alla fine del 2025 si prevede di aver aumentato di almeno 1 unità sia il personale docente di seconda che di prima fascia</w:t>
      </w:r>
    </w:p>
    <w:p w14:paraId="77D9E9DF" w14:textId="7CB3EE5B" w:rsidR="00A05C15" w:rsidRDefault="00865455">
      <w:pPr>
        <w:pBdr>
          <w:top w:val="single" w:sz="6" w:space="1" w:color="000000"/>
          <w:left w:val="single" w:sz="6" w:space="1" w:color="000000"/>
          <w:bottom w:val="single" w:sz="6" w:space="1" w:color="000000"/>
          <w:right w:val="single" w:sz="6" w:space="1" w:color="000000"/>
        </w:pBdr>
        <w:spacing w:after="0"/>
      </w:pPr>
      <w:r>
        <w:rPr>
          <w:b/>
          <w:bCs/>
        </w:rPr>
        <w:t xml:space="preserve">Valore misurato al 31/12/25: </w:t>
      </w:r>
      <w:r>
        <w:t>assunzione di un PO e un PA esterni all’Ateneo</w:t>
      </w:r>
    </w:p>
    <w:p w14:paraId="1DCC1BE3" w14:textId="77777777" w:rsidR="0036749B" w:rsidRDefault="0036749B">
      <w:pPr>
        <w:pBdr>
          <w:top w:val="single" w:sz="6" w:space="1" w:color="000000"/>
          <w:left w:val="single" w:sz="6" w:space="1" w:color="000000"/>
          <w:bottom w:val="single" w:sz="6" w:space="1" w:color="000000"/>
          <w:right w:val="single" w:sz="6" w:space="1" w:color="000000"/>
        </w:pBdr>
        <w:spacing w:after="0"/>
      </w:pPr>
    </w:p>
    <w:p w14:paraId="7DEE045F" w14:textId="77777777" w:rsidR="00A05C15" w:rsidRDefault="00865455">
      <w:pPr>
        <w:pBdr>
          <w:top w:val="single" w:sz="6" w:space="1" w:color="000000"/>
          <w:left w:val="single" w:sz="6" w:space="1" w:color="000000"/>
          <w:bottom w:val="single" w:sz="6" w:space="1" w:color="000000"/>
          <w:right w:val="single" w:sz="6" w:space="1" w:color="000000"/>
        </w:pBdr>
        <w:spacing w:after="0"/>
        <w:rPr>
          <w:rFonts w:ascii="Verdana" w:eastAsia="Verdana" w:hAnsi="Verdana" w:cs="Verdana"/>
          <w:sz w:val="28"/>
          <w:szCs w:val="28"/>
        </w:rPr>
      </w:pPr>
      <w:r>
        <w:rPr>
          <w:b/>
          <w:bCs/>
        </w:rPr>
        <w:t>% raggiungimento del risultato: 100%</w:t>
      </w:r>
    </w:p>
    <w:p w14:paraId="2F2AB429" w14:textId="77777777" w:rsidR="00A05C15" w:rsidRDefault="00A05C15">
      <w:pPr>
        <w:pBdr>
          <w:top w:val="nil"/>
          <w:left w:val="nil"/>
          <w:bottom w:val="nil"/>
          <w:right w:val="nil"/>
          <w:between w:val="nil"/>
        </w:pBdr>
        <w:spacing w:after="0"/>
        <w:jc w:val="both"/>
        <w:rPr>
          <w:rFonts w:ascii="Verdana" w:eastAsia="Verdana" w:hAnsi="Verdana" w:cs="Verdana"/>
          <w:sz w:val="28"/>
          <w:szCs w:val="28"/>
        </w:rPr>
      </w:pPr>
    </w:p>
    <w:p w14:paraId="144E6848" w14:textId="77777777" w:rsidR="00A05C15" w:rsidRDefault="00865455">
      <w:pPr>
        <w:numPr>
          <w:ilvl w:val="0"/>
          <w:numId w:val="3"/>
        </w:numPr>
        <w:pBdr>
          <w:top w:val="nil"/>
          <w:left w:val="nil"/>
          <w:bottom w:val="nil"/>
          <w:right w:val="nil"/>
          <w:between w:val="nil"/>
        </w:pBdr>
        <w:spacing w:after="0"/>
        <w:jc w:val="both"/>
        <w:rPr>
          <w:b/>
          <w:bCs/>
          <w:color w:val="000000"/>
          <w:sz w:val="24"/>
          <w:szCs w:val="24"/>
        </w:rPr>
      </w:pPr>
      <w:bookmarkStart w:id="2" w:name="_heading=h.1fob9te" w:colFirst="0" w:colLast="0"/>
      <w:bookmarkEnd w:id="2"/>
      <w:r>
        <w:rPr>
          <w:b/>
          <w:bCs/>
          <w:color w:val="000000"/>
          <w:sz w:val="24"/>
          <w:szCs w:val="24"/>
        </w:rPr>
        <w:t>Esame degli indicatori relativi alla Ricerca e alla Terza Missione (</w:t>
      </w:r>
      <w:r>
        <w:rPr>
          <w:b/>
          <w:bCs/>
          <w:sz w:val="24"/>
          <w:szCs w:val="24"/>
        </w:rPr>
        <w:t>cruscotti</w:t>
      </w:r>
      <w:r>
        <w:rPr>
          <w:b/>
          <w:bCs/>
          <w:color w:val="000000"/>
          <w:sz w:val="24"/>
          <w:szCs w:val="24"/>
        </w:rPr>
        <w:t xml:space="preserve">) </w:t>
      </w:r>
    </w:p>
    <w:p w14:paraId="1F034E67" w14:textId="77777777" w:rsidR="00A05C15" w:rsidRDefault="00A05C15">
      <w:pPr>
        <w:pBdr>
          <w:top w:val="nil"/>
          <w:left w:val="nil"/>
          <w:bottom w:val="nil"/>
          <w:right w:val="nil"/>
          <w:between w:val="nil"/>
        </w:pBdr>
        <w:spacing w:after="0"/>
        <w:jc w:val="both"/>
        <w:rPr>
          <w:b/>
          <w:bCs/>
          <w:color w:val="000000"/>
          <w:sz w:val="24"/>
          <w:szCs w:val="24"/>
        </w:rPr>
      </w:pPr>
      <w:bookmarkStart w:id="3" w:name="_heading=h.3f6qwjqwz6kd" w:colFirst="0" w:colLast="0"/>
      <w:bookmarkEnd w:id="3"/>
    </w:p>
    <w:p w14:paraId="5CE37A64" w14:textId="77777777" w:rsidR="00A05C15" w:rsidRDefault="00865455">
      <w:pPr>
        <w:pBdr>
          <w:top w:val="nil"/>
          <w:left w:val="nil"/>
          <w:bottom w:val="nil"/>
          <w:right w:val="nil"/>
          <w:between w:val="nil"/>
        </w:pBdr>
        <w:jc w:val="both"/>
        <w:rPr>
          <w:i/>
          <w:iCs/>
        </w:rPr>
      </w:pPr>
      <w:r>
        <w:rPr>
          <w:i/>
          <w:iCs/>
        </w:rPr>
        <w:t>Per la compilazione di questa sezione seguirà una comunicazione contenente indicazioni puntuali da parte dell’Area Sistemi Informativi.</w:t>
      </w:r>
    </w:p>
    <w:p w14:paraId="1DDB3847" w14:textId="77777777" w:rsidR="00A05C15" w:rsidRDefault="00865455">
      <w:pPr>
        <w:spacing w:after="180" w:line="276" w:lineRule="auto"/>
        <w:ind w:left="720"/>
        <w:jc w:val="both"/>
        <w:rPr>
          <w:b/>
          <w:bCs/>
          <w:color w:val="323232"/>
          <w:sz w:val="24"/>
          <w:szCs w:val="24"/>
        </w:rPr>
      </w:pPr>
      <w:r>
        <w:rPr>
          <w:b/>
          <w:bCs/>
          <w:color w:val="323232"/>
          <w:sz w:val="24"/>
          <w:szCs w:val="24"/>
        </w:rPr>
        <w:t>●</w:t>
      </w:r>
      <w:r>
        <w:rPr>
          <w:b/>
          <w:bCs/>
          <w:color w:val="323232"/>
          <w:sz w:val="14"/>
          <w:szCs w:val="14"/>
        </w:rPr>
        <w:t xml:space="preserve">        </w:t>
      </w:r>
      <w:r>
        <w:rPr>
          <w:b/>
          <w:bCs/>
          <w:color w:val="323232"/>
          <w:sz w:val="24"/>
          <w:szCs w:val="24"/>
        </w:rPr>
        <w:t>Pubblicazioni con autori stranieri</w:t>
      </w:r>
    </w:p>
    <w:p w14:paraId="7E0ACF7C" w14:textId="77777777" w:rsidR="00A05C15" w:rsidRDefault="00865455">
      <w:pPr>
        <w:spacing w:before="240" w:after="240" w:line="276" w:lineRule="auto"/>
        <w:jc w:val="both"/>
        <w:rPr>
          <w:sz w:val="24"/>
          <w:szCs w:val="24"/>
        </w:rPr>
      </w:pPr>
      <w:r>
        <w:rPr>
          <w:sz w:val="24"/>
          <w:szCs w:val="24"/>
        </w:rPr>
        <w:t xml:space="preserve">Nel corso del 2025, il Dipartimento ha ulteriormente consolidato il proprio orientamento verso una ricerca scientifica di elevata qualità, rafforzando un trend positivo già avviato negli anni precedenti. Pur a fronte di una lieve flessione nel numero complessivo di pubblicazioni, si osserva un significativo incremento della qualità della produzione scientifica, come dimostrato dalla crescita della percentuale di lavori collocati nel primo quartile secondo i criteri </w:t>
      </w:r>
      <w:proofErr w:type="spellStart"/>
      <w:r>
        <w:rPr>
          <w:sz w:val="24"/>
          <w:szCs w:val="24"/>
        </w:rPr>
        <w:t>Scopus</w:t>
      </w:r>
      <w:proofErr w:type="spellEnd"/>
      <w:r>
        <w:rPr>
          <w:sz w:val="24"/>
          <w:szCs w:val="24"/>
        </w:rPr>
        <w:t>. In un panorama editoriale sempre più competitivo e selettivo, questo risultato rappresenta un indicatore chiaro di maturità scientifica e di capacità del Dipartimento di posizionarsi stabilmente su sedi editoriali di alto impatto.</w:t>
      </w:r>
    </w:p>
    <w:p w14:paraId="7FC6C420" w14:textId="77777777" w:rsidR="00A05C15" w:rsidRDefault="00865455">
      <w:pPr>
        <w:spacing w:before="240" w:after="240" w:line="276" w:lineRule="auto"/>
        <w:jc w:val="both"/>
        <w:rPr>
          <w:sz w:val="24"/>
          <w:szCs w:val="24"/>
        </w:rPr>
      </w:pPr>
      <w:r>
        <w:rPr>
          <w:sz w:val="24"/>
          <w:szCs w:val="24"/>
        </w:rPr>
        <w:t>Parallelamente, il Dipartimento ha mantenuto un elevato e stabile livello di internazionalizzazione della propria attività di ricerca. Circa il 40% delle pubblicazioni coinvolge coautori stranieri, un dato pienamente in linea con i migliori standard internazionali e indicativo di una partecipazione strutturata e continuativa a reti di collaborazione scientifica globali. Tale risultato conferma la capacità del Dipartimento di attrarre partner di ricerca internazionali qualificati e di operare in modo pienamente integrato nel contesto scientifico globale.</w:t>
      </w:r>
    </w:p>
    <w:p w14:paraId="075EF80A" w14:textId="77777777" w:rsidR="00A05C15" w:rsidRDefault="00865455">
      <w:pPr>
        <w:spacing w:before="240" w:after="240" w:line="276" w:lineRule="auto"/>
        <w:jc w:val="both"/>
        <w:rPr>
          <w:sz w:val="24"/>
          <w:szCs w:val="24"/>
        </w:rPr>
      </w:pPr>
      <w:r>
        <w:rPr>
          <w:sz w:val="24"/>
          <w:szCs w:val="24"/>
        </w:rPr>
        <w:t>Nel complesso, l’evoluzione della produzione scientifica nel 2025 evidenzia una strategia coerente e sostenibile, orientata al rafforzamento dell’impatto e della visibilità della ricerca. La combinazione tra crescita qualitativa e un’elevata internazionalizzazione costituisce una base solida per un ulteriore sviluppo dell’eccellenza scientifica del Dipartimento nei prossimi anni.</w:t>
      </w:r>
    </w:p>
    <w:p w14:paraId="615E4736" w14:textId="77777777" w:rsidR="00A05C15" w:rsidRDefault="00865455">
      <w:pPr>
        <w:spacing w:before="240" w:after="240" w:line="276" w:lineRule="auto"/>
        <w:jc w:val="both"/>
        <w:rPr>
          <w:sz w:val="24"/>
          <w:szCs w:val="24"/>
        </w:rPr>
      </w:pPr>
      <w:r>
        <w:rPr>
          <w:sz w:val="24"/>
          <w:szCs w:val="24"/>
        </w:rPr>
        <w:t xml:space="preserve">Si rimanda alla figura allegata per una rappresentazione sintetica dell’andamento della produzione scientifica del Dipartimento, con riferimento al numero complessivo delle pubblicazioni e alla loro distribuzione nei quartili </w:t>
      </w:r>
      <w:proofErr w:type="spellStart"/>
      <w:r>
        <w:rPr>
          <w:sz w:val="24"/>
          <w:szCs w:val="24"/>
        </w:rPr>
        <w:t>Scopus</w:t>
      </w:r>
      <w:proofErr w:type="spellEnd"/>
      <w:r>
        <w:rPr>
          <w:sz w:val="24"/>
          <w:szCs w:val="24"/>
        </w:rPr>
        <w:t>.</w:t>
      </w:r>
    </w:p>
    <w:p w14:paraId="78DEC991" w14:textId="77777777" w:rsidR="00A05C15" w:rsidRDefault="00A05C15">
      <w:pPr>
        <w:spacing w:after="180" w:line="276" w:lineRule="auto"/>
        <w:jc w:val="both"/>
        <w:rPr>
          <w:b/>
          <w:bCs/>
          <w:color w:val="323232"/>
          <w:sz w:val="24"/>
          <w:szCs w:val="24"/>
        </w:rPr>
      </w:pPr>
    </w:p>
    <w:p w14:paraId="15E7AF8C" w14:textId="77777777" w:rsidR="00A05C15" w:rsidRDefault="00865455">
      <w:pPr>
        <w:pBdr>
          <w:top w:val="nil"/>
          <w:left w:val="nil"/>
          <w:bottom w:val="nil"/>
          <w:right w:val="nil"/>
          <w:between w:val="nil"/>
        </w:pBdr>
        <w:spacing w:after="0"/>
        <w:ind w:left="720"/>
        <w:jc w:val="both"/>
        <w:rPr>
          <w:b/>
          <w:bCs/>
          <w:sz w:val="24"/>
          <w:szCs w:val="24"/>
        </w:rPr>
      </w:pPr>
      <w:r>
        <w:rPr>
          <w:b/>
          <w:bCs/>
          <w:noProof/>
          <w:sz w:val="24"/>
          <w:szCs w:val="24"/>
        </w:rPr>
        <w:drawing>
          <wp:inline distT="114300" distB="114300" distL="114300" distR="114300" wp14:anchorId="40546EA9" wp14:editId="02261E5E">
            <wp:extent cx="3123248" cy="218059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123248" cy="2180595"/>
                    </a:xfrm>
                    <a:prstGeom prst="rect">
                      <a:avLst/>
                    </a:prstGeom>
                    <a:ln/>
                  </pic:spPr>
                </pic:pic>
              </a:graphicData>
            </a:graphic>
          </wp:inline>
        </w:drawing>
      </w:r>
      <w:r>
        <w:rPr>
          <w:b/>
          <w:bCs/>
          <w:noProof/>
          <w:sz w:val="24"/>
          <w:szCs w:val="24"/>
        </w:rPr>
        <w:drawing>
          <wp:inline distT="114300" distB="114300" distL="114300" distR="114300" wp14:anchorId="0B67AEE1" wp14:editId="23ACA018">
            <wp:extent cx="3797562" cy="15095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797562" cy="1509590"/>
                    </a:xfrm>
                    <a:prstGeom prst="rect">
                      <a:avLst/>
                    </a:prstGeom>
                    <a:ln/>
                  </pic:spPr>
                </pic:pic>
              </a:graphicData>
            </a:graphic>
          </wp:inline>
        </w:drawing>
      </w:r>
    </w:p>
    <w:p w14:paraId="744648AD" w14:textId="77777777" w:rsidR="00A05C15" w:rsidRDefault="00A05C15">
      <w:pPr>
        <w:pBdr>
          <w:top w:val="nil"/>
          <w:left w:val="nil"/>
          <w:bottom w:val="nil"/>
          <w:right w:val="nil"/>
          <w:between w:val="nil"/>
        </w:pBdr>
        <w:spacing w:after="0"/>
        <w:ind w:left="720"/>
        <w:jc w:val="both"/>
        <w:rPr>
          <w:b/>
          <w:bCs/>
          <w:sz w:val="24"/>
          <w:szCs w:val="24"/>
        </w:rPr>
      </w:pPr>
    </w:p>
    <w:p w14:paraId="475F053D" w14:textId="77777777" w:rsidR="00A05C15" w:rsidRDefault="00865455">
      <w:pPr>
        <w:spacing w:before="240" w:after="0"/>
        <w:jc w:val="both"/>
        <w:rPr>
          <w:b/>
          <w:bCs/>
          <w:i/>
          <w:iCs/>
          <w:color w:val="323232"/>
          <w:sz w:val="24"/>
          <w:szCs w:val="24"/>
        </w:rPr>
      </w:pPr>
      <w:r>
        <w:rPr>
          <w:b/>
          <w:bCs/>
          <w:i/>
          <w:iCs/>
          <w:color w:val="323232"/>
          <w:sz w:val="24"/>
          <w:szCs w:val="24"/>
        </w:rPr>
        <w:t>Dati ottenuti dal cruscotto di Ateneo, sono rappresentati gli articoli su rivista.</w:t>
      </w:r>
    </w:p>
    <w:p w14:paraId="2358E0AF" w14:textId="77777777" w:rsidR="00A05C15" w:rsidRDefault="00A05C15">
      <w:pPr>
        <w:pBdr>
          <w:top w:val="nil"/>
          <w:left w:val="nil"/>
          <w:bottom w:val="nil"/>
          <w:right w:val="nil"/>
          <w:between w:val="nil"/>
        </w:pBdr>
        <w:spacing w:after="0"/>
        <w:ind w:left="720"/>
        <w:jc w:val="both"/>
        <w:rPr>
          <w:b/>
          <w:bCs/>
          <w:sz w:val="24"/>
          <w:szCs w:val="24"/>
        </w:rPr>
      </w:pPr>
    </w:p>
    <w:p w14:paraId="23B06627" w14:textId="77777777" w:rsidR="00A05C15" w:rsidRDefault="00865455">
      <w:pPr>
        <w:spacing w:after="0" w:line="276" w:lineRule="auto"/>
        <w:ind w:left="720"/>
        <w:jc w:val="both"/>
        <w:rPr>
          <w:sz w:val="24"/>
          <w:szCs w:val="24"/>
        </w:rPr>
      </w:pPr>
      <w:r>
        <w:rPr>
          <w:b/>
          <w:bCs/>
          <w:color w:val="323232"/>
          <w:sz w:val="24"/>
          <w:szCs w:val="24"/>
        </w:rPr>
        <w:t>●</w:t>
      </w:r>
      <w:r>
        <w:rPr>
          <w:b/>
          <w:bCs/>
          <w:color w:val="323232"/>
          <w:sz w:val="14"/>
          <w:szCs w:val="14"/>
        </w:rPr>
        <w:t xml:space="preserve">        </w:t>
      </w:r>
      <w:r>
        <w:rPr>
          <w:b/>
          <w:bCs/>
          <w:color w:val="323232"/>
          <w:sz w:val="24"/>
          <w:szCs w:val="24"/>
        </w:rPr>
        <w:t>Mobilità internazionale</w:t>
      </w:r>
    </w:p>
    <w:p w14:paraId="414BB212" w14:textId="77777777" w:rsidR="00A05C15" w:rsidRDefault="00865455">
      <w:pPr>
        <w:spacing w:before="240" w:after="240"/>
        <w:jc w:val="both"/>
        <w:rPr>
          <w:sz w:val="24"/>
          <w:szCs w:val="24"/>
        </w:rPr>
      </w:pPr>
      <w:r>
        <w:rPr>
          <w:sz w:val="24"/>
          <w:szCs w:val="24"/>
        </w:rPr>
        <w:t xml:space="preserve">Nel 2025 la mobilità internazionale del personale docente e di ricerca ha mostrato un sensibile incremento rispetto all’anno precedente, evidenziando un rafforzamento concreto della dimensione internazionale del Dipartimento. In particolare, si registrano cinque mobilità incoming, di cui tre ricercatori e due </w:t>
      </w:r>
      <w:proofErr w:type="spellStart"/>
      <w:r>
        <w:rPr>
          <w:sz w:val="24"/>
          <w:szCs w:val="24"/>
        </w:rPr>
        <w:t>visiting</w:t>
      </w:r>
      <w:proofErr w:type="spellEnd"/>
      <w:r>
        <w:rPr>
          <w:sz w:val="24"/>
          <w:szCs w:val="24"/>
        </w:rPr>
        <w:t xml:space="preserve"> </w:t>
      </w:r>
      <w:proofErr w:type="spellStart"/>
      <w:r>
        <w:rPr>
          <w:sz w:val="24"/>
          <w:szCs w:val="24"/>
        </w:rPr>
        <w:t>PhD</w:t>
      </w:r>
      <w:proofErr w:type="spellEnd"/>
      <w:r>
        <w:rPr>
          <w:sz w:val="24"/>
          <w:szCs w:val="24"/>
        </w:rPr>
        <w:t xml:space="preserve">, che hanno svolto un periodo di attività scientifica e formativa presso le nostre strutture. Questo dato rappresenta un segnale significativo di attrattività del Dipartimento, non solo in termini di collaborazione scientifica, ma anche come ambiente formativo capace di integrarsi in reti di ricerca internazionali. Parallelamente, si contano due mobilità </w:t>
      </w:r>
      <w:proofErr w:type="spellStart"/>
      <w:r>
        <w:rPr>
          <w:sz w:val="24"/>
          <w:szCs w:val="24"/>
        </w:rPr>
        <w:t>outgoing</w:t>
      </w:r>
      <w:proofErr w:type="spellEnd"/>
      <w:r>
        <w:rPr>
          <w:sz w:val="24"/>
          <w:szCs w:val="24"/>
        </w:rPr>
        <w:t>, che hanno coinvolto un Professore Associato e un Ricercatore, impegnati in periodi di attività presso istituzioni estere europee nell’ambito di programmi di cooperazione accademica e scientifica.</w:t>
      </w:r>
    </w:p>
    <w:p w14:paraId="0FFB3675" w14:textId="77777777" w:rsidR="00A05C15" w:rsidRPr="0038032C" w:rsidRDefault="00865455" w:rsidP="0038032C">
      <w:pPr>
        <w:spacing w:before="240" w:after="240"/>
        <w:jc w:val="both"/>
        <w:rPr>
          <w:sz w:val="24"/>
          <w:szCs w:val="24"/>
        </w:rPr>
      </w:pPr>
      <w:r>
        <w:rPr>
          <w:sz w:val="24"/>
          <w:szCs w:val="24"/>
        </w:rPr>
        <w:t>Nel complesso, rispetto al 2024, si osserva quindi un ampliamento sia quantitativo sia qualitativo delle esperienze di mobilità, con un equilibrio tra flussi in entrata e in uscita. Questo andamento conferma una progressiva integrazione del Dipartimento nei circuiti internazionali della ricerca e della formazione avanzata. Sarà opportuno consolidare questa tendenza, strutturando ulteriormente le opportunità di mobilità come leve strategiche per lo sviluppo delle collaborazioni scientifiche, la crescita professionale del personale e il posizionamento internazionale del Dipartimento, in coerenza con le linee programmatiche di Ateneo</w:t>
      </w:r>
      <w:r w:rsidR="0038032C">
        <w:rPr>
          <w:sz w:val="24"/>
          <w:szCs w:val="24"/>
        </w:rPr>
        <w:t>.</w:t>
      </w:r>
    </w:p>
    <w:p w14:paraId="3364D8C8" w14:textId="77777777" w:rsidR="00A05C15" w:rsidRDefault="00865455">
      <w:pPr>
        <w:spacing w:after="0" w:line="276" w:lineRule="auto"/>
        <w:ind w:left="720"/>
        <w:jc w:val="both"/>
        <w:rPr>
          <w:b/>
          <w:bCs/>
          <w:color w:val="323232"/>
          <w:sz w:val="24"/>
          <w:szCs w:val="24"/>
        </w:rPr>
      </w:pPr>
      <w:r>
        <w:rPr>
          <w:b/>
          <w:bCs/>
          <w:color w:val="323232"/>
          <w:sz w:val="24"/>
          <w:szCs w:val="24"/>
        </w:rPr>
        <w:t>●</w:t>
      </w:r>
      <w:r>
        <w:rPr>
          <w:b/>
          <w:bCs/>
          <w:color w:val="323232"/>
          <w:sz w:val="14"/>
          <w:szCs w:val="14"/>
        </w:rPr>
        <w:t xml:space="preserve">        </w:t>
      </w:r>
      <w:r>
        <w:rPr>
          <w:b/>
          <w:bCs/>
          <w:color w:val="323232"/>
          <w:sz w:val="24"/>
          <w:szCs w:val="24"/>
        </w:rPr>
        <w:t>Progetti acquisiti da bandi competitivi e finanziamenti ottenuti</w:t>
      </w:r>
    </w:p>
    <w:p w14:paraId="3EDD45ED" w14:textId="77777777" w:rsidR="00A05C15" w:rsidRDefault="00865455">
      <w:pPr>
        <w:spacing w:before="240" w:after="240"/>
        <w:jc w:val="both"/>
        <w:rPr>
          <w:sz w:val="24"/>
          <w:szCs w:val="24"/>
        </w:rPr>
      </w:pPr>
      <w:r>
        <w:rPr>
          <w:sz w:val="24"/>
          <w:szCs w:val="24"/>
        </w:rPr>
        <w:t>Nel 2025, il Dipartimento ha confermato una buona capacità di attrazione di risorse attraverso bandi competitivi, in un contesto caratterizzato da una crescente selettività delle opportunità di finanziamento. I progetti di ricerca finanziati nel corso dell’anno hanno consentito di acquisire risorse complessive pari a 2,25 milioni di euro, a testimonianza della solidità e della competitività delle proposte presentate. Tra i finanziamenti ottenuti figurano anche progetti di particolare prestigio, quali due progetti FIS, che rappresentano un riconoscimento significativo dell’elevato livello scientifico del Dipartimento e della sua capacità di competere su call nazionali di eccellenza.</w:t>
      </w:r>
    </w:p>
    <w:p w14:paraId="49D063B2" w14:textId="77777777" w:rsidR="00A05C15" w:rsidRDefault="00865455">
      <w:pPr>
        <w:spacing w:before="240" w:after="240"/>
        <w:jc w:val="both"/>
        <w:rPr>
          <w:sz w:val="24"/>
          <w:szCs w:val="24"/>
        </w:rPr>
      </w:pPr>
      <w:r>
        <w:rPr>
          <w:sz w:val="24"/>
          <w:szCs w:val="24"/>
        </w:rPr>
        <w:t>Parallelamente, il Dipartimento ha ulteriormente rafforzato le collaborazioni con il settore produttivo, consolidando il proprio ruolo nel trasferimento tecnologico e nell’applicazione dei risultati della ricerca. I contratti stipulati con aziende nel 2025 hanno generato finanziamenti per un importo complessivo pari a 0,32 milioni di euro, evidenziando la capacità del Dipartimento di rispondere in modo efficace alle esigenze del mondo industriale e di sviluppare partnership stabili e produttive.</w:t>
      </w:r>
    </w:p>
    <w:p w14:paraId="5A8D9242" w14:textId="77777777" w:rsidR="00A05C15" w:rsidRDefault="00865455">
      <w:pPr>
        <w:spacing w:before="240" w:after="240"/>
        <w:jc w:val="both"/>
        <w:rPr>
          <w:sz w:val="24"/>
          <w:szCs w:val="24"/>
        </w:rPr>
      </w:pPr>
      <w:r>
        <w:rPr>
          <w:sz w:val="24"/>
          <w:szCs w:val="24"/>
        </w:rPr>
        <w:t>Per quanto riguarda l’origine dei finanziamenti, i progetti acquisiti nel 2025 mostrano una articolazione diversificata delle fonti, includendo contributi provenienti da ambito nazionale, europeo ed extra-europeo. Questa distribuzione conferma il posizionamento del Dipartimento all’interno di reti di ricerca non solo nazionali ma anche internazionali, e rappresenta una base solida per un ulteriore rafforzamento della partecipazione a programmi competitivi su scala europea e globale.</w:t>
      </w:r>
    </w:p>
    <w:p w14:paraId="0430CBB7" w14:textId="77777777" w:rsidR="00A05C15" w:rsidRDefault="00865455">
      <w:pPr>
        <w:spacing w:before="240" w:after="240"/>
        <w:jc w:val="both"/>
        <w:rPr>
          <w:sz w:val="24"/>
          <w:szCs w:val="24"/>
        </w:rPr>
      </w:pPr>
      <w:r>
        <w:rPr>
          <w:sz w:val="24"/>
          <w:szCs w:val="24"/>
        </w:rPr>
        <w:t>Nel complesso, i risultati conseguiti nel 2025 evidenziano la qualità dell’attività progettuale del Dipartimento, la capacità di integrare ricerca competitiva e collaborazione industriale e la presenza di finanziamenti di eccellenza, elementi che costituiscono un punto di forza strategico per lo sviluppo futuro delle attività di ricerca.</w:t>
      </w:r>
    </w:p>
    <w:p w14:paraId="5F03E7DF" w14:textId="77777777" w:rsidR="00A05C15" w:rsidRDefault="00A05C15">
      <w:pPr>
        <w:pBdr>
          <w:top w:val="nil"/>
          <w:left w:val="nil"/>
          <w:bottom w:val="nil"/>
          <w:right w:val="nil"/>
          <w:between w:val="nil"/>
        </w:pBdr>
        <w:spacing w:after="0"/>
        <w:jc w:val="both"/>
        <w:rPr>
          <w:b/>
          <w:bCs/>
          <w:sz w:val="24"/>
          <w:szCs w:val="24"/>
          <w:highlight w:val="yellow"/>
        </w:rPr>
      </w:pPr>
    </w:p>
    <w:p w14:paraId="33E33F49" w14:textId="77777777" w:rsidR="00A05C15" w:rsidRDefault="00865455">
      <w:pPr>
        <w:spacing w:after="0" w:line="276" w:lineRule="auto"/>
        <w:ind w:left="720"/>
        <w:jc w:val="both"/>
        <w:rPr>
          <w:b/>
          <w:bCs/>
          <w:sz w:val="24"/>
          <w:szCs w:val="24"/>
        </w:rPr>
      </w:pPr>
      <w:r>
        <w:rPr>
          <w:b/>
          <w:bCs/>
          <w:sz w:val="24"/>
          <w:szCs w:val="24"/>
        </w:rPr>
        <w:t>●</w:t>
      </w:r>
      <w:r>
        <w:rPr>
          <w:rFonts w:ascii="Times New Roman" w:eastAsia="Times New Roman" w:hAnsi="Times New Roman" w:cs="Times New Roman"/>
          <w:b/>
          <w:bCs/>
          <w:sz w:val="14"/>
          <w:szCs w:val="14"/>
        </w:rPr>
        <w:t xml:space="preserve">        </w:t>
      </w:r>
      <w:r>
        <w:rPr>
          <w:b/>
          <w:bCs/>
          <w:sz w:val="24"/>
          <w:szCs w:val="24"/>
        </w:rPr>
        <w:t>Premi scientifici, Fellow di società scientifiche internazionali, Direzione di riviste, collane editoriali, enciclopedie e trattati scientifici, Direzione o responsabilità scientifica /coordinamento di enti o istituti di ricerca pubblici o privati nazionali o internazionali, Attribuzione di incarichi ufficiali di insegnamento o di ricerca presso atenei e centri di ricerca pubblici o privati internazionali, Responsabilità scientifica di congressi internazionali</w:t>
      </w:r>
    </w:p>
    <w:p w14:paraId="2FFFB53A" w14:textId="77777777" w:rsidR="00A05C15" w:rsidRDefault="00A05C15">
      <w:pPr>
        <w:pBdr>
          <w:top w:val="nil"/>
          <w:left w:val="nil"/>
          <w:bottom w:val="nil"/>
          <w:right w:val="nil"/>
          <w:between w:val="nil"/>
        </w:pBdr>
        <w:spacing w:after="0"/>
        <w:jc w:val="both"/>
        <w:rPr>
          <w:b/>
          <w:bCs/>
          <w:sz w:val="24"/>
          <w:szCs w:val="24"/>
          <w:highlight w:val="yellow"/>
        </w:rPr>
      </w:pPr>
    </w:p>
    <w:p w14:paraId="7FD84683" w14:textId="77777777" w:rsidR="00A05C15" w:rsidRDefault="00865455">
      <w:pPr>
        <w:spacing w:before="240" w:after="240"/>
        <w:jc w:val="both"/>
        <w:rPr>
          <w:sz w:val="24"/>
          <w:szCs w:val="24"/>
        </w:rPr>
      </w:pPr>
      <w:r>
        <w:rPr>
          <w:sz w:val="24"/>
          <w:szCs w:val="24"/>
        </w:rPr>
        <w:t>Nel corso del 2025, il Dipartimento ha ulteriormente rafforzato la propria visibilità e reputazione scientifica a livello nazionale e internazionale, come dimostrato dai numerosi riconoscimenti, incarichi editoriali e ruoli di responsabilità scientifica assunti dai suoi docenti e ricercatori. Nel corso dell’anno sono stati conferiti quattro premi scientifici da parte di società scientifiche e editori internazionali di riconosciuto prestigio, che hanno valorizzato l’eccellenza progettuale, l’attività editoriale e la qualità della formazione alla ricerca in ambiti quali le scienze dei materiali, la risonanza magnetica, le biotecnologie microbiche e le scienze della vita. Tali riconoscimenti testimoniano la capacità del Dipartimento di esprimere eccellenze in settori disciplinari diversi e ad alto impatto.</w:t>
      </w:r>
    </w:p>
    <w:p w14:paraId="271604A1" w14:textId="77777777" w:rsidR="00A05C15" w:rsidRDefault="00865455">
      <w:pPr>
        <w:spacing w:before="240" w:after="240"/>
        <w:jc w:val="both"/>
        <w:rPr>
          <w:sz w:val="24"/>
          <w:szCs w:val="24"/>
        </w:rPr>
      </w:pPr>
      <w:r>
        <w:rPr>
          <w:sz w:val="24"/>
          <w:szCs w:val="24"/>
        </w:rPr>
        <w:t>Il profilo scientifico del Dipartimento è ulteriormente attestato dalla presenza strutturata di numerosi Fellow in società scientifiche nazionali, europee e internazionali. Complessivamente, nel 2025 risultano 14 posizioni di Fellow attive, conferite da organizzazioni di primo piano quali l’</w:t>
      </w:r>
      <w:proofErr w:type="spellStart"/>
      <w:r>
        <w:rPr>
          <w:sz w:val="24"/>
          <w:szCs w:val="24"/>
        </w:rPr>
        <w:t>European</w:t>
      </w:r>
      <w:proofErr w:type="spellEnd"/>
      <w:r>
        <w:rPr>
          <w:sz w:val="24"/>
          <w:szCs w:val="24"/>
        </w:rPr>
        <w:t xml:space="preserve"> </w:t>
      </w:r>
      <w:proofErr w:type="spellStart"/>
      <w:r>
        <w:rPr>
          <w:sz w:val="24"/>
          <w:szCs w:val="24"/>
        </w:rPr>
        <w:t>Molecular</w:t>
      </w:r>
      <w:proofErr w:type="spellEnd"/>
      <w:r>
        <w:rPr>
          <w:sz w:val="24"/>
          <w:szCs w:val="24"/>
        </w:rPr>
        <w:t xml:space="preserve"> </w:t>
      </w:r>
      <w:proofErr w:type="spellStart"/>
      <w:r>
        <w:rPr>
          <w:sz w:val="24"/>
          <w:szCs w:val="24"/>
        </w:rPr>
        <w:t>Biology</w:t>
      </w:r>
      <w:proofErr w:type="spellEnd"/>
      <w:r>
        <w:rPr>
          <w:sz w:val="24"/>
          <w:szCs w:val="24"/>
        </w:rPr>
        <w:t xml:space="preserve"> Organization (EMBO), l’</w:t>
      </w:r>
      <w:proofErr w:type="spellStart"/>
      <w:r>
        <w:rPr>
          <w:sz w:val="24"/>
          <w:szCs w:val="24"/>
        </w:rPr>
        <w:t>European</w:t>
      </w:r>
      <w:proofErr w:type="spellEnd"/>
      <w:r>
        <w:rPr>
          <w:sz w:val="24"/>
          <w:szCs w:val="24"/>
        </w:rPr>
        <w:t xml:space="preserve"> Society of </w:t>
      </w:r>
      <w:proofErr w:type="spellStart"/>
      <w:r>
        <w:rPr>
          <w:sz w:val="24"/>
          <w:szCs w:val="24"/>
        </w:rPr>
        <w:t>Cardiology</w:t>
      </w:r>
      <w:proofErr w:type="spellEnd"/>
      <w:r>
        <w:rPr>
          <w:sz w:val="24"/>
          <w:szCs w:val="24"/>
        </w:rPr>
        <w:t xml:space="preserve"> (ESC), l’</w:t>
      </w:r>
      <w:proofErr w:type="spellStart"/>
      <w:r>
        <w:rPr>
          <w:sz w:val="24"/>
          <w:szCs w:val="24"/>
        </w:rPr>
        <w:t>European</w:t>
      </w:r>
      <w:proofErr w:type="spellEnd"/>
      <w:r>
        <w:rPr>
          <w:sz w:val="24"/>
          <w:szCs w:val="24"/>
        </w:rPr>
        <w:t xml:space="preserve"> Federation of </w:t>
      </w:r>
      <w:proofErr w:type="spellStart"/>
      <w:r>
        <w:rPr>
          <w:sz w:val="24"/>
          <w:szCs w:val="24"/>
        </w:rPr>
        <w:t>Biotechnology</w:t>
      </w:r>
      <w:proofErr w:type="spellEnd"/>
      <w:r>
        <w:rPr>
          <w:sz w:val="24"/>
          <w:szCs w:val="24"/>
        </w:rPr>
        <w:t xml:space="preserve"> (EFB) e diverse società scientifiche nazionali. Questi incarichi rappresentano un riconoscimento duraturo della qualità scientifica dei docenti del Dipartimento e della loro partecipazione attiva alle comunità scientifiche di riferimento.</w:t>
      </w:r>
    </w:p>
    <w:p w14:paraId="12BC63D7" w14:textId="77777777" w:rsidR="00A05C15" w:rsidRDefault="00865455">
      <w:pPr>
        <w:spacing w:before="240" w:after="240"/>
        <w:jc w:val="both"/>
        <w:rPr>
          <w:sz w:val="24"/>
          <w:szCs w:val="24"/>
        </w:rPr>
      </w:pPr>
      <w:r>
        <w:rPr>
          <w:sz w:val="24"/>
          <w:szCs w:val="24"/>
        </w:rPr>
        <w:t xml:space="preserve">Particolarmente rilevante è anche il contributo del Dipartimento alla </w:t>
      </w:r>
      <w:proofErr w:type="spellStart"/>
      <w:r>
        <w:rPr>
          <w:sz w:val="24"/>
          <w:szCs w:val="24"/>
        </w:rPr>
        <w:t>governance</w:t>
      </w:r>
      <w:proofErr w:type="spellEnd"/>
      <w:r>
        <w:rPr>
          <w:sz w:val="24"/>
          <w:szCs w:val="24"/>
        </w:rPr>
        <w:t xml:space="preserve"> editoriale della produzione scientifica internazionale. Nel 2025, docenti del Dipartimento ricoprono ruoli di direzione editoriale presso tre riviste scientifiche internazionali, tra cui </w:t>
      </w:r>
      <w:proofErr w:type="spellStart"/>
      <w:r>
        <w:rPr>
          <w:i/>
          <w:iCs/>
          <w:sz w:val="24"/>
          <w:szCs w:val="24"/>
        </w:rPr>
        <w:t>Frontiers</w:t>
      </w:r>
      <w:proofErr w:type="spellEnd"/>
      <w:r>
        <w:rPr>
          <w:i/>
          <w:iCs/>
          <w:sz w:val="24"/>
          <w:szCs w:val="24"/>
        </w:rPr>
        <w:t xml:space="preserve"> in </w:t>
      </w:r>
      <w:proofErr w:type="spellStart"/>
      <w:r>
        <w:rPr>
          <w:i/>
          <w:iCs/>
          <w:sz w:val="24"/>
          <w:szCs w:val="24"/>
        </w:rPr>
        <w:t>Immunology</w:t>
      </w:r>
      <w:proofErr w:type="spellEnd"/>
      <w:r>
        <w:rPr>
          <w:sz w:val="24"/>
          <w:szCs w:val="24"/>
        </w:rPr>
        <w:t xml:space="preserve">, </w:t>
      </w:r>
      <w:proofErr w:type="spellStart"/>
      <w:r>
        <w:rPr>
          <w:i/>
          <w:iCs/>
          <w:sz w:val="24"/>
          <w:szCs w:val="24"/>
        </w:rPr>
        <w:t>European</w:t>
      </w:r>
      <w:proofErr w:type="spellEnd"/>
      <w:r>
        <w:rPr>
          <w:i/>
          <w:iCs/>
          <w:sz w:val="24"/>
          <w:szCs w:val="24"/>
        </w:rPr>
        <w:t xml:space="preserve"> Journal of </w:t>
      </w:r>
      <w:proofErr w:type="spellStart"/>
      <w:r>
        <w:rPr>
          <w:i/>
          <w:iCs/>
          <w:sz w:val="24"/>
          <w:szCs w:val="24"/>
        </w:rPr>
        <w:t>Immunology</w:t>
      </w:r>
      <w:proofErr w:type="spellEnd"/>
      <w:r>
        <w:rPr>
          <w:sz w:val="24"/>
          <w:szCs w:val="24"/>
        </w:rPr>
        <w:t xml:space="preserve">, </w:t>
      </w:r>
      <w:r>
        <w:rPr>
          <w:i/>
          <w:iCs/>
          <w:sz w:val="24"/>
          <w:szCs w:val="24"/>
        </w:rPr>
        <w:t xml:space="preserve">Journal of </w:t>
      </w:r>
      <w:proofErr w:type="spellStart"/>
      <w:r>
        <w:rPr>
          <w:i/>
          <w:iCs/>
          <w:sz w:val="24"/>
          <w:szCs w:val="24"/>
        </w:rPr>
        <w:t>Analytical</w:t>
      </w:r>
      <w:proofErr w:type="spellEnd"/>
      <w:r>
        <w:rPr>
          <w:i/>
          <w:iCs/>
          <w:sz w:val="24"/>
          <w:szCs w:val="24"/>
        </w:rPr>
        <w:t xml:space="preserve"> Methods in Chemistry</w:t>
      </w:r>
      <w:r>
        <w:rPr>
          <w:sz w:val="24"/>
          <w:szCs w:val="24"/>
        </w:rPr>
        <w:t xml:space="preserve"> e </w:t>
      </w:r>
      <w:proofErr w:type="spellStart"/>
      <w:r>
        <w:rPr>
          <w:i/>
          <w:iCs/>
          <w:sz w:val="24"/>
          <w:szCs w:val="24"/>
        </w:rPr>
        <w:t>Microbial</w:t>
      </w:r>
      <w:proofErr w:type="spellEnd"/>
      <w:r>
        <w:rPr>
          <w:i/>
          <w:iCs/>
          <w:sz w:val="24"/>
          <w:szCs w:val="24"/>
        </w:rPr>
        <w:t xml:space="preserve"> Cell </w:t>
      </w:r>
      <w:proofErr w:type="spellStart"/>
      <w:r>
        <w:rPr>
          <w:i/>
          <w:iCs/>
          <w:sz w:val="24"/>
          <w:szCs w:val="24"/>
        </w:rPr>
        <w:t>Factories</w:t>
      </w:r>
      <w:proofErr w:type="spellEnd"/>
      <w:r>
        <w:rPr>
          <w:sz w:val="24"/>
          <w:szCs w:val="24"/>
        </w:rPr>
        <w:t>, riviste di riferimento nei rispettivi ambiti disciplinari. Tali incarichi confermano il riconoscimento dell’autorevolezza scientifica del Dipartimento e il suo ruolo attivo nei processi di valutazione e diffusione della ricerca di alto livello.</w:t>
      </w:r>
    </w:p>
    <w:p w14:paraId="604EF04B" w14:textId="77777777" w:rsidR="00A05C15" w:rsidRDefault="00865455">
      <w:pPr>
        <w:spacing w:before="240" w:after="240"/>
        <w:jc w:val="both"/>
        <w:rPr>
          <w:sz w:val="24"/>
          <w:szCs w:val="24"/>
        </w:rPr>
      </w:pPr>
      <w:r>
        <w:rPr>
          <w:sz w:val="24"/>
          <w:szCs w:val="24"/>
        </w:rPr>
        <w:t>Infine, il Dipartimento esprime una forte capacità di leadership scientifica e istituzionale, come dimostrato dalla direzione scientifica di due centri di ricerca di rilevanza nazionale afferenti all’Ateneo, attivi nei settori delle scienze marine e delle nanobiotecnologie per la salute. Questi incarichi rafforzano il ruolo del Dipartimento come attore centrale nel panorama della ricerca e dell’alta formazione, contribuendo allo sviluppo di infrastrutture di ricerca e alla definizione di strategie scientifiche di medio e lungo periodo.</w:t>
      </w:r>
    </w:p>
    <w:p w14:paraId="4F654822" w14:textId="77777777" w:rsidR="00A05C15" w:rsidRPr="00434DB9" w:rsidRDefault="00865455" w:rsidP="00434DB9">
      <w:pPr>
        <w:spacing w:before="240" w:after="240"/>
        <w:jc w:val="both"/>
        <w:rPr>
          <w:sz w:val="24"/>
          <w:szCs w:val="24"/>
        </w:rPr>
      </w:pPr>
      <w:r>
        <w:rPr>
          <w:sz w:val="24"/>
          <w:szCs w:val="24"/>
        </w:rPr>
        <w:t>Nel complesso, i riconoscimenti, gli incarichi e le responsabilità assunte nel 2025 delineano un quadro di elevata autorevolezza scientifica, confermando il Dipartimento come un polo di eccellenza capace di incidere significativamente nel contesto scientifico nazionale e internazionale.</w:t>
      </w:r>
    </w:p>
    <w:p w14:paraId="7B8D26DA" w14:textId="77777777" w:rsidR="00A05C15" w:rsidRDefault="00865455">
      <w:pPr>
        <w:pStyle w:val="Titolo4"/>
        <w:keepNext w:val="0"/>
        <w:keepLines w:val="0"/>
        <w:spacing w:before="0" w:after="0" w:line="273" w:lineRule="auto"/>
        <w:ind w:left="1080" w:hanging="360"/>
        <w:jc w:val="both"/>
      </w:pPr>
      <w:bookmarkStart w:id="4" w:name="_heading=h.dm98y7dcqs8o" w:colFirst="0" w:colLast="0"/>
      <w:bookmarkEnd w:id="4"/>
      <w:r>
        <w:rPr>
          <w:b w:val="0"/>
          <w:bCs w:val="0"/>
        </w:rPr>
        <w:t>●</w:t>
      </w:r>
      <w:r>
        <w:rPr>
          <w:rFonts w:ascii="Times New Roman" w:eastAsia="Times New Roman" w:hAnsi="Times New Roman" w:cs="Times New Roman"/>
          <w:b w:val="0"/>
          <w:bCs w:val="0"/>
          <w:sz w:val="16"/>
          <w:szCs w:val="16"/>
        </w:rPr>
        <w:t xml:space="preserve">        </w:t>
      </w:r>
      <w:r>
        <w:t>Brevetti</w:t>
      </w:r>
    </w:p>
    <w:p w14:paraId="7118659D" w14:textId="77777777" w:rsidR="00A05C15" w:rsidRDefault="00865455">
      <w:pPr>
        <w:spacing w:before="240" w:after="240"/>
        <w:jc w:val="both"/>
        <w:rPr>
          <w:sz w:val="24"/>
          <w:szCs w:val="24"/>
        </w:rPr>
      </w:pPr>
      <w:r>
        <w:rPr>
          <w:sz w:val="24"/>
          <w:szCs w:val="24"/>
        </w:rPr>
        <w:t>Nel 2025, il Dipartimento ha consolidato l’attività di tutela e valorizzazione della proprietà intellettuale, confermando la continuità del percorso di rafforzamento avviato nell’anno precedente. Nel corso dell’anno sono stati registrati complessivamente 5 brevetti, di cui 2 classificati come non prioritari, a testimonianza di un’attività brevettuale selettiva e orientata alla sostenibilità delle azioni di protezione.</w:t>
      </w:r>
    </w:p>
    <w:p w14:paraId="4FFF31F1" w14:textId="77777777" w:rsidR="00A05C15" w:rsidRDefault="00865455">
      <w:pPr>
        <w:spacing w:before="240" w:after="240"/>
        <w:jc w:val="both"/>
        <w:rPr>
          <w:sz w:val="24"/>
          <w:szCs w:val="24"/>
        </w:rPr>
      </w:pPr>
      <w:r>
        <w:rPr>
          <w:sz w:val="24"/>
          <w:szCs w:val="24"/>
        </w:rPr>
        <w:t>L’attività brevettuale ha generato ricavi complessivi pari a 11.300 euro, evidenziando la capacità del Dipartimento di valorizzare i risultati della ricerca anche sotto il profilo economico e di trasferimento tecnologico. Particolarmente significativo è inoltre il respiro internazionale delle attività di tutela, con brevetti estesi a 3 Paesi, elemento che rafforza il potenziale di impatto e di sfruttamento dei risultati della ricerca su scala sovranazionale.</w:t>
      </w:r>
    </w:p>
    <w:p w14:paraId="0C2BD8C6" w14:textId="77777777" w:rsidR="00A05C15" w:rsidRDefault="00865455">
      <w:pPr>
        <w:spacing w:before="240" w:after="240"/>
        <w:jc w:val="both"/>
        <w:rPr>
          <w:sz w:val="24"/>
          <w:szCs w:val="24"/>
        </w:rPr>
      </w:pPr>
      <w:r>
        <w:rPr>
          <w:sz w:val="24"/>
          <w:szCs w:val="24"/>
        </w:rPr>
        <w:t>Nel complesso, i dati del 2025 indicano una strategia matura e mirata nella gestione della proprietà intellettuale, in cui l’attenzione alla qualità dei risultati e al loro potenziale applicativo si accompagna a una crescente consapevolezza del valore della protezione brevettuale. La continuità dell’attività rispetto all’anno precedente contribuisce a consolidare la cultura dell’innovazione all’interno del Dipartimento.</w:t>
      </w:r>
    </w:p>
    <w:p w14:paraId="0927DED4" w14:textId="77777777" w:rsidR="0038032C" w:rsidRPr="0038032C" w:rsidRDefault="00865455">
      <w:pPr>
        <w:spacing w:before="240" w:after="240"/>
        <w:jc w:val="both"/>
        <w:rPr>
          <w:sz w:val="24"/>
          <w:szCs w:val="24"/>
        </w:rPr>
      </w:pPr>
      <w:r>
        <w:rPr>
          <w:sz w:val="24"/>
          <w:szCs w:val="24"/>
        </w:rPr>
        <w:t>In prospettiva, il rafforzamento delle attività brevettuali, unitamente allo sviluppo di sinergie con imprese e altri enti pubblici e privati, rappresenta un asse strategico per accrescere ulteriormente l’impatto tecnologico ed economico della ricerca dipartimentale e il ruolo del Dipartimento nel sistema dell’innovazione.</w:t>
      </w:r>
    </w:p>
    <w:p w14:paraId="599C15A6" w14:textId="77777777" w:rsidR="00A05C15" w:rsidRDefault="00865455">
      <w:pPr>
        <w:pStyle w:val="Titolo4"/>
        <w:keepNext w:val="0"/>
        <w:keepLines w:val="0"/>
        <w:spacing w:before="0" w:after="0" w:line="273" w:lineRule="auto"/>
        <w:ind w:left="1080" w:hanging="360"/>
        <w:jc w:val="both"/>
      </w:pPr>
      <w:bookmarkStart w:id="5" w:name="_heading=h.83niaa3558xf" w:colFirst="0" w:colLast="0"/>
      <w:bookmarkEnd w:id="5"/>
      <w:r>
        <w:rPr>
          <w:b w:val="0"/>
          <w:bCs w:val="0"/>
        </w:rPr>
        <w:t>●</w:t>
      </w:r>
      <w:r>
        <w:rPr>
          <w:rFonts w:ascii="Times New Roman" w:eastAsia="Times New Roman" w:hAnsi="Times New Roman" w:cs="Times New Roman"/>
          <w:b w:val="0"/>
          <w:bCs w:val="0"/>
          <w:sz w:val="16"/>
          <w:szCs w:val="16"/>
        </w:rPr>
        <w:t xml:space="preserve">        </w:t>
      </w:r>
      <w:r>
        <w:t>Entrate conto terzi</w:t>
      </w:r>
    </w:p>
    <w:p w14:paraId="53F768B4" w14:textId="77777777" w:rsidR="00A05C15" w:rsidRDefault="00865455">
      <w:pPr>
        <w:spacing w:before="240" w:after="240"/>
        <w:jc w:val="both"/>
        <w:rPr>
          <w:sz w:val="24"/>
          <w:szCs w:val="24"/>
        </w:rPr>
      </w:pPr>
      <w:r>
        <w:rPr>
          <w:sz w:val="24"/>
          <w:szCs w:val="24"/>
        </w:rPr>
        <w:t>Nel 2025, l’attività conto terzi del Dipartimento ha mostrato un ulteriore rafforzamento, confermando il ruolo del Dipartimento come interlocutore qualificato per il mondo produttivo e per la ricerca applicata. Nel corso dell’anno sono stati presentati 31 contratti di ricerca, di cui 26 hanno ottenuto il finanziamento, per un valore complessivo pari a 321.000 euro. Questo risultato evidenzia un’elevata capacità di tradurre le proposte progettuali in collaborazioni effettive e finanziate, nonché una crescente attrattività delle competenze dipartimentali.</w:t>
      </w:r>
    </w:p>
    <w:p w14:paraId="5578B4B4" w14:textId="77777777" w:rsidR="00A05C15" w:rsidRDefault="00865455">
      <w:pPr>
        <w:spacing w:before="240" w:after="240"/>
        <w:jc w:val="both"/>
        <w:rPr>
          <w:sz w:val="24"/>
          <w:szCs w:val="24"/>
        </w:rPr>
      </w:pPr>
      <w:r>
        <w:rPr>
          <w:sz w:val="24"/>
          <w:szCs w:val="24"/>
        </w:rPr>
        <w:t>La distribuzione geografica delle collaborazioni conferma una solida base nazionale, con 21 contratti stipulati con aziende italiane, affiancata da una presenza significativa di partnership internazionali, comprendenti 3 collaborazioni europee e 2 con realtà extra-UE. Tale articolazione testimonia una progressiva apertura verso contesti internazionali e contribuisce a diversificare le fonti di finanziamento e ad ampliare l’impatto delle attività di ricerca.</w:t>
      </w:r>
    </w:p>
    <w:p w14:paraId="12B94C23" w14:textId="77777777" w:rsidR="00A05C15" w:rsidRDefault="00865455">
      <w:pPr>
        <w:spacing w:before="240" w:after="240"/>
        <w:jc w:val="both"/>
        <w:rPr>
          <w:sz w:val="24"/>
          <w:szCs w:val="24"/>
        </w:rPr>
      </w:pPr>
      <w:r>
        <w:rPr>
          <w:sz w:val="24"/>
          <w:szCs w:val="24"/>
        </w:rPr>
        <w:t>Le entrate conto terzi si confermano una componente strategica per il sostegno alla ricerca applicata e al trasferimento tecnologico, permettendo al Dipartimento di valorizzare competenze avanzate e approcci interdisciplinari. L’andamento positivo registrato nel 2025 fornisce una base solida per ulteriori sviluppi futuri, anche attraverso il consolidamento delle relazioni con il tessuto industriale, l’attrazione di nuove partnership e il rafforzamento delle collaborazioni a livello europeo e internazionale.</w:t>
      </w:r>
    </w:p>
    <w:p w14:paraId="69AAA005" w14:textId="77777777" w:rsidR="00A05C15" w:rsidRDefault="00865455">
      <w:pPr>
        <w:pStyle w:val="Titolo4"/>
        <w:keepNext w:val="0"/>
        <w:keepLines w:val="0"/>
        <w:spacing w:before="0" w:after="0" w:line="273" w:lineRule="auto"/>
        <w:ind w:left="1080" w:hanging="360"/>
        <w:jc w:val="both"/>
      </w:pPr>
      <w:bookmarkStart w:id="6" w:name="_heading=h.lyppm2e5nv23" w:colFirst="0" w:colLast="0"/>
      <w:bookmarkEnd w:id="6"/>
      <w:r>
        <w:rPr>
          <w:b w:val="0"/>
          <w:bCs w:val="0"/>
        </w:rPr>
        <w:t>●</w:t>
      </w:r>
      <w:r>
        <w:rPr>
          <w:rFonts w:ascii="Times New Roman" w:eastAsia="Times New Roman" w:hAnsi="Times New Roman" w:cs="Times New Roman"/>
          <w:b w:val="0"/>
          <w:bCs w:val="0"/>
        </w:rPr>
        <w:t xml:space="preserve">        </w:t>
      </w:r>
      <w:r>
        <w:t>Monitoraggio attività di Public Engagement</w:t>
      </w:r>
    </w:p>
    <w:p w14:paraId="51C9E0B1" w14:textId="77777777" w:rsidR="00A05C15" w:rsidRDefault="00865455">
      <w:pPr>
        <w:spacing w:before="240" w:after="240"/>
        <w:jc w:val="both"/>
        <w:rPr>
          <w:sz w:val="24"/>
          <w:szCs w:val="24"/>
        </w:rPr>
      </w:pPr>
      <w:r>
        <w:rPr>
          <w:sz w:val="24"/>
          <w:szCs w:val="24"/>
        </w:rPr>
        <w:t xml:space="preserve">Nel 2025 il Dipartimento ha ulteriormente rafforzato e ampliato le attività di Public Engagement, confermando la terza missione come componente strutturale e strategica della propria azione istituzionale. Nel corso dell’anno sono state realizzate oltre 60 iniziative di Public Engagement, caratterizzate da un’elevata diversificazione in termini di formati, pubblici di riferimento e obiettivi, con un impatto complessivo molto ampio a livello locale, nazionale e internazionale. Al fine di rendere più strutturato e valorizzabile il programma della terza missione le azioni di </w:t>
      </w:r>
      <w:proofErr w:type="spellStart"/>
      <w:r>
        <w:rPr>
          <w:sz w:val="24"/>
          <w:szCs w:val="24"/>
        </w:rPr>
        <w:t>BtBs</w:t>
      </w:r>
      <w:proofErr w:type="spellEnd"/>
      <w:r>
        <w:rPr>
          <w:sz w:val="24"/>
          <w:szCs w:val="24"/>
        </w:rPr>
        <w:t xml:space="preserve"> sono </w:t>
      </w:r>
      <w:proofErr w:type="spellStart"/>
      <w:r>
        <w:rPr>
          <w:sz w:val="24"/>
          <w:szCs w:val="24"/>
        </w:rPr>
        <w:t>stae</w:t>
      </w:r>
      <w:proofErr w:type="spellEnd"/>
      <w:r>
        <w:rPr>
          <w:sz w:val="24"/>
          <w:szCs w:val="24"/>
        </w:rPr>
        <w:t xml:space="preserve"> coordinate in base alla tipologia di attività e target. </w:t>
      </w:r>
    </w:p>
    <w:p w14:paraId="48BDD053" w14:textId="77777777" w:rsidR="00A05C15" w:rsidRDefault="00865455">
      <w:pPr>
        <w:spacing w:before="240" w:after="240"/>
        <w:jc w:val="both"/>
        <w:rPr>
          <w:sz w:val="24"/>
          <w:szCs w:val="24"/>
        </w:rPr>
      </w:pPr>
      <w:r>
        <w:rPr>
          <w:sz w:val="24"/>
          <w:szCs w:val="24"/>
        </w:rPr>
        <w:t>Una quota particolarmente rilevante delle attività ha riguardato il coinvolgimento del mondo scolastico, con numerose iniziative rivolte a studenti della scuola primaria e secondaria, percorsi di orientamento scuola-università e laboratori didattici sperimentali. Complessivamente, tali attività hanno coinvolto migliaia di studenti, includendo eventi con una partecipazione molto ampia (fino a 5.000 studenti per singole iniziative), contribuendo in modo significativo alla diffusione della cultura scientifica e alla promozione delle discipline STEM. La maggior parte dell</w:t>
      </w:r>
      <w:r w:rsidR="0038032C">
        <w:rPr>
          <w:sz w:val="24"/>
          <w:szCs w:val="24"/>
        </w:rPr>
        <w:t>e</w:t>
      </w:r>
      <w:r>
        <w:rPr>
          <w:sz w:val="24"/>
          <w:szCs w:val="24"/>
        </w:rPr>
        <w:t xml:space="preserve"> attività hanno previsto momenti di confronto partecipati particolarmente importante per tarare le attività formative dei prossimi anni.</w:t>
      </w:r>
    </w:p>
    <w:p w14:paraId="34EDDAD1" w14:textId="77777777" w:rsidR="00A05C15" w:rsidRDefault="00865455">
      <w:pPr>
        <w:spacing w:before="240" w:after="240"/>
        <w:jc w:val="both"/>
        <w:rPr>
          <w:sz w:val="24"/>
          <w:szCs w:val="24"/>
        </w:rPr>
      </w:pPr>
      <w:r>
        <w:rPr>
          <w:sz w:val="24"/>
          <w:szCs w:val="24"/>
        </w:rPr>
        <w:t xml:space="preserve">Una seconda azione ha riguardato la condivisione delle proposte di ricerca del dipartimento con linguaggi e format innovativi. Uno dei più rilevanti e di successo sono gli spettacoli teatrali e i festival scientifici che hanno permesso di mettere in luce non solo il percorso di ricerca ma anche il ruolo del ricercatore come membro della società. Questa strategia ha consentito di avvicinare maggiormente gli utenti alla ricerca e a connettere i ricercatori con la società. </w:t>
      </w:r>
    </w:p>
    <w:p w14:paraId="23F05586" w14:textId="77777777" w:rsidR="00A05C15" w:rsidRDefault="00865455">
      <w:pPr>
        <w:spacing w:before="240" w:after="240"/>
        <w:jc w:val="both"/>
        <w:rPr>
          <w:sz w:val="24"/>
          <w:szCs w:val="24"/>
        </w:rPr>
      </w:pPr>
      <w:r>
        <w:rPr>
          <w:sz w:val="24"/>
          <w:szCs w:val="24"/>
        </w:rPr>
        <w:t>Terza strategia adottata ha previsto la partecipazione a trasmissioni radiofoniche e televisive a diffusione nazionale. Questo mezzo consente di presentare le attività del dipartimento alla società. In quest’ultimo anno i ricercatori del dipartimento hanno anche co-progettato e realizzato un programma di 16 puntate su Rai scuola dedicato ai temi della biodiversità e transizione ecologica. Si sottolinea che questi interventi vengono usati dalle scuole medie inferiori e superiori per attività didattiche in classe dedicate agli approfondimenti e che sono disponibili sulla piattaforma Rai.   Alcune iniziative hanno raggiunto un pubblico stimato di decine di migliaia di persone, grazie anche all’utilizzo di canali mediatici ad ampia diffusione e social network, rafforzando la visibilità del Dipartimento e il dialogo con la società civile.</w:t>
      </w:r>
    </w:p>
    <w:p w14:paraId="560DC81A" w14:textId="77777777" w:rsidR="00A05C15" w:rsidRDefault="00865455">
      <w:pPr>
        <w:spacing w:before="240" w:after="240"/>
        <w:jc w:val="both"/>
        <w:rPr>
          <w:sz w:val="24"/>
          <w:szCs w:val="24"/>
        </w:rPr>
      </w:pPr>
      <w:r>
        <w:rPr>
          <w:sz w:val="24"/>
          <w:szCs w:val="24"/>
        </w:rPr>
        <w:t xml:space="preserve">Di particolare rilievo sono inoltre le attività di co-produzione di conoscenza e citizen science, che hanno previsto il coinvolgimento diretto di cittadini, studenti e associazioni nel processo di ricerca, come nel caso dei progetti sul microbioma ambientale e sulla biodiversità urbana. Queste iniziative rappresentano esempi avanzati di Public Engagement partecipativo, con impatti documentati di natura culturale, educativa e scientifica, inclusa la produzione di dati originali e la sperimentazione di modelli replicabili a livello nazionale e internazionale. Il 2025 si caratterizza anche per una crescente dimensione internazionale delle attività di Public Engagement, con iniziative inserite in reti e contesti globali (quali </w:t>
      </w:r>
      <w:proofErr w:type="spellStart"/>
      <w:r>
        <w:rPr>
          <w:sz w:val="24"/>
          <w:szCs w:val="24"/>
        </w:rPr>
        <w:t>UniStem</w:t>
      </w:r>
      <w:proofErr w:type="spellEnd"/>
      <w:r>
        <w:rPr>
          <w:sz w:val="24"/>
          <w:szCs w:val="24"/>
        </w:rPr>
        <w:t xml:space="preserve"> Day, eventi europei e conferenze internazionali), che hanno contribuito a proiettare l’immagine del Dipartimento oltre il contesto locale, rafforzandone il ruolo come attore attivo nel dialogo tra scienza e società.</w:t>
      </w:r>
    </w:p>
    <w:p w14:paraId="69C25FCA" w14:textId="3A568CA3" w:rsidR="006A7282" w:rsidRDefault="00865455" w:rsidP="00434DB9">
      <w:pPr>
        <w:spacing w:before="240" w:after="240"/>
        <w:jc w:val="both"/>
        <w:rPr>
          <w:sz w:val="24"/>
          <w:szCs w:val="24"/>
        </w:rPr>
      </w:pPr>
      <w:r>
        <w:rPr>
          <w:sz w:val="24"/>
          <w:szCs w:val="24"/>
        </w:rPr>
        <w:t>Nel complesso, il numero, la varietà e l’impatto delle iniziative realizzate nel 2025 delineano un bilancio estremamente positivo, che testimonia una visione matura e consapevole della terza missione. L’attenzione all’inclusività, alla qualità della comunicazione scientifica e alla partecipazione attiva dei diversi pubblici conferma il Dipartimento come un punto di riferimento nel panorama del Public Engagement accademico.</w:t>
      </w:r>
    </w:p>
    <w:p w14:paraId="255E1365" w14:textId="251ADCCA" w:rsidR="0036749B" w:rsidRDefault="0036749B" w:rsidP="00434DB9">
      <w:pPr>
        <w:spacing w:before="240" w:after="240"/>
        <w:jc w:val="both"/>
        <w:rPr>
          <w:sz w:val="24"/>
          <w:szCs w:val="24"/>
        </w:rPr>
      </w:pPr>
    </w:p>
    <w:p w14:paraId="1294F5B8" w14:textId="77777777" w:rsidR="0036749B" w:rsidRPr="00434DB9" w:rsidRDefault="0036749B" w:rsidP="00434DB9">
      <w:pPr>
        <w:spacing w:before="240" w:after="240"/>
        <w:jc w:val="both"/>
        <w:rPr>
          <w:sz w:val="24"/>
          <w:szCs w:val="24"/>
        </w:rPr>
      </w:pPr>
    </w:p>
    <w:p w14:paraId="60E1BA1F" w14:textId="77777777" w:rsidR="00A05C15" w:rsidRDefault="00865455">
      <w:pPr>
        <w:numPr>
          <w:ilvl w:val="0"/>
          <w:numId w:val="3"/>
        </w:numPr>
        <w:pBdr>
          <w:top w:val="nil"/>
          <w:left w:val="nil"/>
          <w:bottom w:val="nil"/>
          <w:right w:val="nil"/>
          <w:between w:val="nil"/>
        </w:pBdr>
        <w:jc w:val="both"/>
        <w:rPr>
          <w:b/>
          <w:bCs/>
          <w:color w:val="000000"/>
          <w:sz w:val="24"/>
          <w:szCs w:val="24"/>
        </w:rPr>
      </w:pPr>
      <w:r>
        <w:rPr>
          <w:b/>
          <w:bCs/>
          <w:color w:val="000000"/>
          <w:sz w:val="24"/>
          <w:szCs w:val="24"/>
        </w:rPr>
        <w:t>Esame dell’attività didattica del Dipartimento</w:t>
      </w:r>
    </w:p>
    <w:p w14:paraId="0B05F3C1" w14:textId="77A3607E" w:rsidR="00434DB9" w:rsidRDefault="00865455">
      <w:pPr>
        <w:spacing w:before="240" w:after="240"/>
        <w:jc w:val="both"/>
        <w:rPr>
          <w:sz w:val="24"/>
          <w:szCs w:val="24"/>
        </w:rPr>
      </w:pPr>
      <w:r>
        <w:rPr>
          <w:sz w:val="24"/>
          <w:szCs w:val="24"/>
        </w:rPr>
        <w:t>Anche nel corso del 2025, le iniziative del Dipartimento relative all’attività didattica hanno aderito ai piani originari, rispettando nel complesso le aspettative. L’analisi che segue si fonda sugli indicatori ANVUR aggiornati al 4 Ottobre 2025</w:t>
      </w:r>
      <w:r w:rsidR="00434DB9">
        <w:rPr>
          <w:sz w:val="24"/>
          <w:szCs w:val="24"/>
        </w:rPr>
        <w:t>.</w:t>
      </w:r>
    </w:p>
    <w:p w14:paraId="7E64DF64" w14:textId="77777777" w:rsidR="00A05C15" w:rsidRDefault="00865455">
      <w:pPr>
        <w:jc w:val="both"/>
        <w:rPr>
          <w:i/>
          <w:iCs/>
          <w:sz w:val="24"/>
          <w:szCs w:val="24"/>
        </w:rPr>
      </w:pPr>
      <w:r>
        <w:rPr>
          <w:i/>
          <w:iCs/>
          <w:sz w:val="24"/>
          <w:szCs w:val="24"/>
        </w:rPr>
        <w:t xml:space="preserve">3.1 Osservazioni sulle schede dell’ultimo monitoraggio (SMA) dei CdS di cui il Dipartimento è referente principale. </w:t>
      </w:r>
    </w:p>
    <w:p w14:paraId="7EDB0CF0" w14:textId="77777777" w:rsidR="006A7282" w:rsidRDefault="00865455">
      <w:pPr>
        <w:jc w:val="both"/>
        <w:rPr>
          <w:sz w:val="24"/>
          <w:szCs w:val="24"/>
        </w:rPr>
      </w:pPr>
      <w:r>
        <w:rPr>
          <w:sz w:val="24"/>
          <w:szCs w:val="24"/>
        </w:rPr>
        <w:t xml:space="preserve">I CdS di I livello afferenti a BTBS mantengono un’eccellente progressione di carriera (indicatori </w:t>
      </w:r>
      <w:r>
        <w:rPr>
          <w:b/>
          <w:bCs/>
          <w:sz w:val="24"/>
          <w:szCs w:val="24"/>
        </w:rPr>
        <w:t>iC01</w:t>
      </w:r>
      <w:r>
        <w:rPr>
          <w:sz w:val="24"/>
          <w:szCs w:val="24"/>
        </w:rPr>
        <w:t xml:space="preserve">, </w:t>
      </w:r>
      <w:r>
        <w:rPr>
          <w:b/>
          <w:bCs/>
          <w:sz w:val="24"/>
          <w:szCs w:val="24"/>
        </w:rPr>
        <w:t>iC13</w:t>
      </w:r>
      <w:r>
        <w:rPr>
          <w:sz w:val="24"/>
          <w:szCs w:val="24"/>
        </w:rPr>
        <w:t xml:space="preserve">, </w:t>
      </w:r>
      <w:r>
        <w:rPr>
          <w:b/>
          <w:bCs/>
          <w:sz w:val="24"/>
          <w:szCs w:val="24"/>
        </w:rPr>
        <w:t>iC16bis</w:t>
      </w:r>
      <w:r>
        <w:rPr>
          <w:sz w:val="24"/>
          <w:szCs w:val="24"/>
        </w:rPr>
        <w:t xml:space="preserve">), ottima </w:t>
      </w:r>
      <w:proofErr w:type="spellStart"/>
      <w:r>
        <w:rPr>
          <w:sz w:val="24"/>
          <w:szCs w:val="24"/>
        </w:rPr>
        <w:t>laureabilità</w:t>
      </w:r>
      <w:proofErr w:type="spellEnd"/>
      <w:r>
        <w:rPr>
          <w:sz w:val="24"/>
          <w:szCs w:val="24"/>
        </w:rPr>
        <w:t xml:space="preserve"> entro la durata prevista del CdS (</w:t>
      </w:r>
      <w:r>
        <w:rPr>
          <w:b/>
          <w:bCs/>
          <w:sz w:val="24"/>
          <w:szCs w:val="24"/>
        </w:rPr>
        <w:t>iC02</w:t>
      </w:r>
      <w:r>
        <w:rPr>
          <w:sz w:val="24"/>
          <w:szCs w:val="24"/>
        </w:rPr>
        <w:t xml:space="preserve">, </w:t>
      </w:r>
      <w:r>
        <w:rPr>
          <w:b/>
          <w:bCs/>
          <w:sz w:val="24"/>
          <w:szCs w:val="24"/>
        </w:rPr>
        <w:t>iC22</w:t>
      </w:r>
      <w:r>
        <w:rPr>
          <w:sz w:val="24"/>
          <w:szCs w:val="24"/>
        </w:rPr>
        <w:t xml:space="preserve">, </w:t>
      </w:r>
      <w:r>
        <w:rPr>
          <w:b/>
          <w:bCs/>
          <w:sz w:val="24"/>
          <w:szCs w:val="24"/>
        </w:rPr>
        <w:t>iC17</w:t>
      </w:r>
      <w:r>
        <w:rPr>
          <w:sz w:val="24"/>
          <w:szCs w:val="24"/>
        </w:rPr>
        <w:t>), nonché bassa percentuale di abbandoni tra il I e il II anno (</w:t>
      </w:r>
      <w:r>
        <w:rPr>
          <w:b/>
          <w:bCs/>
          <w:sz w:val="24"/>
          <w:szCs w:val="24"/>
        </w:rPr>
        <w:t>iC14</w:t>
      </w:r>
      <w:r>
        <w:rPr>
          <w:sz w:val="24"/>
          <w:szCs w:val="24"/>
        </w:rPr>
        <w:t>) e durante l’intero percorso formativo (</w:t>
      </w:r>
      <w:r>
        <w:rPr>
          <w:b/>
          <w:bCs/>
          <w:sz w:val="24"/>
          <w:szCs w:val="24"/>
        </w:rPr>
        <w:t>iC24</w:t>
      </w:r>
      <w:r>
        <w:rPr>
          <w:sz w:val="24"/>
          <w:szCs w:val="24"/>
        </w:rPr>
        <w:t>). I valori dei parametri indicati risultano nel 2024 in ulteriore miglioramento rispetto agli anni precedenti e sono complessivamente migliori sia dei corrispondenti dati nazionali che di quelli dell’area di riferimento. Lo stesso vale per il CdS magistrale in Biotecnologie Industriali e per quello in Biologia, nonostante in quest’ultimo permanga una quota relativamente alta (&gt;30%) di studenti lavoratori.</w:t>
      </w:r>
    </w:p>
    <w:p w14:paraId="348C5F14" w14:textId="77777777" w:rsidR="00A05C15" w:rsidRDefault="00865455">
      <w:pPr>
        <w:pStyle w:val="Titolo4"/>
        <w:keepNext w:val="0"/>
        <w:keepLines w:val="0"/>
        <w:spacing w:before="0" w:after="0" w:line="271" w:lineRule="auto"/>
        <w:ind w:left="1440" w:hanging="360"/>
        <w:jc w:val="both"/>
        <w:rPr>
          <w:sz w:val="22"/>
          <w:szCs w:val="22"/>
        </w:rPr>
      </w:pPr>
      <w:bookmarkStart w:id="7" w:name="_heading=h.gz2mk3z83c0" w:colFirst="0" w:colLast="0"/>
      <w:bookmarkEnd w:id="7"/>
      <w:r>
        <w:rPr>
          <w:b w:val="0"/>
          <w:bCs w:val="0"/>
          <w:sz w:val="22"/>
          <w:szCs w:val="22"/>
        </w:rPr>
        <w:t>●</w:t>
      </w:r>
      <w:r>
        <w:rPr>
          <w:rFonts w:ascii="Times New Roman" w:eastAsia="Times New Roman" w:hAnsi="Times New Roman" w:cs="Times New Roman"/>
          <w:b w:val="0"/>
          <w:bCs w:val="0"/>
          <w:sz w:val="16"/>
          <w:szCs w:val="16"/>
        </w:rPr>
        <w:t xml:space="preserve">        </w:t>
      </w:r>
      <w:r>
        <w:rPr>
          <w:sz w:val="22"/>
          <w:szCs w:val="22"/>
        </w:rPr>
        <w:t>Aspetti critici e azioni di miglioramento</w:t>
      </w:r>
    </w:p>
    <w:p w14:paraId="082860E7" w14:textId="77777777" w:rsidR="00A05C15" w:rsidRDefault="00865455">
      <w:pPr>
        <w:spacing w:before="240" w:after="240"/>
        <w:jc w:val="both"/>
        <w:rPr>
          <w:sz w:val="24"/>
          <w:szCs w:val="24"/>
        </w:rPr>
      </w:pPr>
      <w:r>
        <w:rPr>
          <w:b/>
          <w:bCs/>
          <w:i/>
          <w:iCs/>
          <w:sz w:val="24"/>
          <w:szCs w:val="24"/>
        </w:rPr>
        <w:t>Attrattività</w:t>
      </w:r>
      <w:r>
        <w:rPr>
          <w:sz w:val="24"/>
          <w:szCs w:val="24"/>
        </w:rPr>
        <w:t xml:space="preserve">. L’attrattività dei CdS triennali resta ottima, con sostanziale saturazione dei numeri programmati e partecipazione al test di ingresso di un numero di potenziali matricole molto superiore al numero programmato. La rilevazione del 2024 mostra un parametro </w:t>
      </w:r>
      <w:r>
        <w:rPr>
          <w:b/>
          <w:bCs/>
          <w:sz w:val="24"/>
          <w:szCs w:val="24"/>
        </w:rPr>
        <w:t>iC00a</w:t>
      </w:r>
      <w:r>
        <w:rPr>
          <w:sz w:val="24"/>
          <w:szCs w:val="24"/>
        </w:rPr>
        <w:t xml:space="preserve"> (avvii di carriera) superiore a 180 per i CdS di I livello, a conferma che le iniziative di orientamento in entrata sostenute dal Dipartimento (</w:t>
      </w:r>
      <w:r>
        <w:rPr>
          <w:i/>
          <w:iCs/>
          <w:sz w:val="24"/>
          <w:szCs w:val="24"/>
        </w:rPr>
        <w:t>Azione 3 – Azioni di Orientamento in entrata per i CdS di I livello</w:t>
      </w:r>
      <w:r>
        <w:rPr>
          <w:sz w:val="24"/>
          <w:szCs w:val="24"/>
        </w:rPr>
        <w:t>) sono efficaci.</w:t>
      </w:r>
    </w:p>
    <w:p w14:paraId="101A4135" w14:textId="77777777" w:rsidR="00A05C15" w:rsidRDefault="00865455">
      <w:pPr>
        <w:spacing w:before="240" w:after="240"/>
        <w:jc w:val="both"/>
        <w:rPr>
          <w:sz w:val="24"/>
          <w:szCs w:val="24"/>
        </w:rPr>
      </w:pPr>
      <w:r>
        <w:rPr>
          <w:sz w:val="24"/>
          <w:szCs w:val="24"/>
        </w:rPr>
        <w:t xml:space="preserve">Per i CdS magistrali, l’indicatore </w:t>
      </w:r>
      <w:r>
        <w:rPr>
          <w:b/>
          <w:bCs/>
          <w:sz w:val="24"/>
          <w:szCs w:val="24"/>
        </w:rPr>
        <w:t>iC00a</w:t>
      </w:r>
      <w:r>
        <w:rPr>
          <w:sz w:val="24"/>
          <w:szCs w:val="24"/>
        </w:rPr>
        <w:t xml:space="preserve"> risulta 83 per Biologia e 91 per Biotecnologie Industriali, valori in linea con quelli degli anni precedenti e superiori a quelli dell’area geografica di riferimento e al dato nazionale. L’attrattività dei CdS magistrali per studenti provenienti da altri atenei (</w:t>
      </w:r>
      <w:r>
        <w:rPr>
          <w:b/>
          <w:bCs/>
          <w:sz w:val="24"/>
          <w:szCs w:val="24"/>
        </w:rPr>
        <w:t>iC04</w:t>
      </w:r>
      <w:r>
        <w:rPr>
          <w:sz w:val="24"/>
          <w:szCs w:val="24"/>
        </w:rPr>
        <w:t xml:space="preserve">) risulta però passibile di miglioramento (risulta al 2024 di 41% per Biologia e 28.6% per Biotecnologie Industriali). Sono al momento in esame ulteriori iniziative di Orientamento, per rendere ancora più efficaci le azioni intraprese nel quadro dell’Azione 4 </w:t>
      </w:r>
      <w:r>
        <w:rPr>
          <w:i/>
          <w:iCs/>
          <w:sz w:val="24"/>
          <w:szCs w:val="24"/>
        </w:rPr>
        <w:t>– Azioni di Orientamento in entrata per i CdS di II livello</w:t>
      </w:r>
      <w:r>
        <w:rPr>
          <w:sz w:val="24"/>
          <w:szCs w:val="24"/>
        </w:rPr>
        <w:t>).</w:t>
      </w:r>
    </w:p>
    <w:p w14:paraId="5A444613" w14:textId="77777777" w:rsidR="00A05C15" w:rsidRDefault="00865455">
      <w:pPr>
        <w:spacing w:before="240" w:after="240"/>
        <w:jc w:val="both"/>
        <w:rPr>
          <w:sz w:val="24"/>
          <w:szCs w:val="24"/>
        </w:rPr>
      </w:pPr>
      <w:r>
        <w:rPr>
          <w:b/>
          <w:bCs/>
          <w:i/>
          <w:iCs/>
          <w:sz w:val="24"/>
          <w:szCs w:val="24"/>
        </w:rPr>
        <w:t>Internazionalizzazione</w:t>
      </w:r>
      <w:r>
        <w:rPr>
          <w:sz w:val="24"/>
          <w:szCs w:val="24"/>
        </w:rPr>
        <w:t xml:space="preserve">. Per entrambi i CdS magistrali, i parametri </w:t>
      </w:r>
      <w:r>
        <w:rPr>
          <w:b/>
          <w:bCs/>
          <w:sz w:val="24"/>
          <w:szCs w:val="24"/>
        </w:rPr>
        <w:t>iC10</w:t>
      </w:r>
      <w:r>
        <w:rPr>
          <w:sz w:val="24"/>
          <w:szCs w:val="24"/>
        </w:rPr>
        <w:t xml:space="preserve"> e </w:t>
      </w:r>
      <w:r>
        <w:rPr>
          <w:b/>
          <w:bCs/>
          <w:sz w:val="24"/>
          <w:szCs w:val="24"/>
        </w:rPr>
        <w:t>iC11</w:t>
      </w:r>
      <w:r>
        <w:rPr>
          <w:sz w:val="24"/>
          <w:szCs w:val="24"/>
        </w:rPr>
        <w:t>, relativi alla mobilità in uscita, restano superiori ai valori nazionali e dell’area geografica di riferimento. Ciò testimonia l'efficacia delle molteplici azioni di Orientamento per i nostri studenti (</w:t>
      </w:r>
      <w:r>
        <w:rPr>
          <w:i/>
          <w:iCs/>
          <w:sz w:val="24"/>
          <w:szCs w:val="24"/>
        </w:rPr>
        <w:t>Azione 9 – Aumentare la mobilità degli studenti</w:t>
      </w:r>
      <w:r>
        <w:rPr>
          <w:sz w:val="24"/>
          <w:szCs w:val="24"/>
        </w:rPr>
        <w:t>). Risultano invece più fluttuanti da un anno all’altro i corrispondenti dati dei CdS triennali, probabilmente anche a causa del piccolo numero di studenti coinvolti. Resta inoltre complessivamente insoddisfacente la mobilità in entrata (</w:t>
      </w:r>
      <w:r>
        <w:rPr>
          <w:b/>
          <w:bCs/>
          <w:sz w:val="24"/>
          <w:szCs w:val="24"/>
        </w:rPr>
        <w:t>iC12</w:t>
      </w:r>
      <w:r>
        <w:rPr>
          <w:sz w:val="24"/>
          <w:szCs w:val="24"/>
        </w:rPr>
        <w:t>). Nel caso dei CdS magistrali, ci aspettiamo che la situazione possa migliorare nei prossimi anni, in seguito all’espansione in corso della didattica erogata in lingua inglese (</w:t>
      </w:r>
      <w:r>
        <w:rPr>
          <w:i/>
          <w:iCs/>
          <w:sz w:val="24"/>
          <w:szCs w:val="24"/>
        </w:rPr>
        <w:t>Azione 9</w:t>
      </w:r>
      <w:r>
        <w:rPr>
          <w:sz w:val="24"/>
          <w:szCs w:val="24"/>
        </w:rPr>
        <w:t>) e alla classificazione dei corsi come bilingui, secondo i nuovi ordinamenti.</w:t>
      </w:r>
    </w:p>
    <w:p w14:paraId="08412D1C" w14:textId="77777777" w:rsidR="00A05C15" w:rsidRDefault="00865455">
      <w:pPr>
        <w:spacing w:before="240" w:after="240"/>
        <w:jc w:val="both"/>
        <w:rPr>
          <w:sz w:val="24"/>
          <w:szCs w:val="24"/>
        </w:rPr>
      </w:pPr>
      <w:r>
        <w:rPr>
          <w:b/>
          <w:bCs/>
          <w:i/>
          <w:iCs/>
          <w:sz w:val="24"/>
          <w:szCs w:val="24"/>
        </w:rPr>
        <w:t>Tasso di occupabilità</w:t>
      </w:r>
      <w:r>
        <w:rPr>
          <w:sz w:val="24"/>
          <w:szCs w:val="24"/>
        </w:rPr>
        <w:t>. La percentuale di occupati a tre anni dalla laurea (</w:t>
      </w:r>
      <w:r>
        <w:rPr>
          <w:b/>
          <w:bCs/>
          <w:sz w:val="24"/>
          <w:szCs w:val="24"/>
        </w:rPr>
        <w:t>iC07ter</w:t>
      </w:r>
      <w:r>
        <w:rPr>
          <w:sz w:val="24"/>
          <w:szCs w:val="24"/>
        </w:rPr>
        <w:t>) è superiore al 90% per la LM in Biotecnologie Industriali (leggermente superiore ai valori nazionali e di area geografica). Situazione analoga si osserva per la LM in Biologia, in netta risalita rispetto all’inizio del triennio, con valori recenti dell’indicatore superiori al dato nazionale. Sembrano quindi essere efficaci le azioni di Orientamento in uscita promosse dal Dipartimento (</w:t>
      </w:r>
      <w:r>
        <w:rPr>
          <w:i/>
          <w:iCs/>
          <w:sz w:val="24"/>
          <w:szCs w:val="24"/>
        </w:rPr>
        <w:t>Azione 5 – Progettazione di attività di orientamento in uscita per i CdS di II livello in Biotecnologie Industriali e Biologia</w:t>
      </w:r>
      <w:r>
        <w:rPr>
          <w:sz w:val="24"/>
          <w:szCs w:val="24"/>
        </w:rPr>
        <w:t xml:space="preserve">), che affiancano le azioni esercitate dai CCD e i servizi di </w:t>
      </w:r>
      <w:r>
        <w:rPr>
          <w:i/>
          <w:iCs/>
          <w:sz w:val="24"/>
          <w:szCs w:val="24"/>
        </w:rPr>
        <w:t>Job Placement</w:t>
      </w:r>
      <w:r>
        <w:rPr>
          <w:sz w:val="24"/>
          <w:szCs w:val="24"/>
        </w:rPr>
        <w:t xml:space="preserve"> dell’Ateneo.</w:t>
      </w:r>
    </w:p>
    <w:p w14:paraId="476C355B" w14:textId="77777777" w:rsidR="006A7282" w:rsidRDefault="00865455">
      <w:pPr>
        <w:spacing w:before="240" w:after="240"/>
        <w:jc w:val="both"/>
        <w:rPr>
          <w:sz w:val="24"/>
          <w:szCs w:val="24"/>
        </w:rPr>
      </w:pPr>
      <w:r>
        <w:rPr>
          <w:b/>
          <w:bCs/>
          <w:i/>
          <w:iCs/>
          <w:sz w:val="24"/>
          <w:szCs w:val="24"/>
        </w:rPr>
        <w:t>Didattica innovativa</w:t>
      </w:r>
      <w:r>
        <w:rPr>
          <w:sz w:val="24"/>
          <w:szCs w:val="24"/>
        </w:rPr>
        <w:t xml:space="preserve">. Il Dipartimento ha ritenuto di poter migliorare i pur soddisfacenti parametri di </w:t>
      </w:r>
      <w:proofErr w:type="spellStart"/>
      <w:r>
        <w:rPr>
          <w:sz w:val="24"/>
          <w:szCs w:val="24"/>
        </w:rPr>
        <w:t>laureabilità</w:t>
      </w:r>
      <w:proofErr w:type="spellEnd"/>
      <w:r>
        <w:rPr>
          <w:sz w:val="24"/>
          <w:szCs w:val="24"/>
        </w:rPr>
        <w:t xml:space="preserve"> in corso di tutti i CdS afferenti, nonché di raffinare l’acquisizione di conoscenze e competenze, mediante lo sviluppo di metodi di didattica innovativa. Le relative </w:t>
      </w:r>
      <w:r>
        <w:rPr>
          <w:i/>
          <w:iCs/>
          <w:sz w:val="24"/>
          <w:szCs w:val="24"/>
        </w:rPr>
        <w:t>Azioni 1 e 2</w:t>
      </w:r>
      <w:r>
        <w:rPr>
          <w:sz w:val="24"/>
          <w:szCs w:val="24"/>
        </w:rPr>
        <w:t xml:space="preserve"> (</w:t>
      </w:r>
      <w:r>
        <w:rPr>
          <w:i/>
          <w:iCs/>
          <w:sz w:val="24"/>
          <w:szCs w:val="24"/>
        </w:rPr>
        <w:t xml:space="preserve">Promozione della didattica blended e-learning nei CdS, </w:t>
      </w:r>
      <w:r>
        <w:rPr>
          <w:sz w:val="24"/>
          <w:szCs w:val="24"/>
        </w:rPr>
        <w:t>rispettivamente,</w:t>
      </w:r>
      <w:r>
        <w:rPr>
          <w:i/>
          <w:iCs/>
          <w:sz w:val="24"/>
          <w:szCs w:val="24"/>
        </w:rPr>
        <w:t xml:space="preserve"> triennali e magistrali)</w:t>
      </w:r>
      <w:r>
        <w:rPr>
          <w:sz w:val="24"/>
          <w:szCs w:val="24"/>
        </w:rPr>
        <w:t xml:space="preserve"> sono descritte dettagliatamente nella </w:t>
      </w:r>
      <w:r>
        <w:rPr>
          <w:i/>
          <w:iCs/>
          <w:sz w:val="24"/>
          <w:szCs w:val="24"/>
        </w:rPr>
        <w:t>Sezione 1</w:t>
      </w:r>
      <w:r>
        <w:rPr>
          <w:sz w:val="24"/>
          <w:szCs w:val="24"/>
        </w:rPr>
        <w:t>. Una prima valutazione dell’efficacia di queste azioni, iniziate nel corso del 2024, si può ricavare dall’analisi delle Opinioni degli Studenti 2024-2025 degli insegnamenti più direttamente coinvolti da queste azioni. Per gli insegnamenti dei CdS triennali (elencati nell’</w:t>
      </w:r>
      <w:r>
        <w:rPr>
          <w:i/>
          <w:iCs/>
          <w:sz w:val="24"/>
          <w:szCs w:val="24"/>
        </w:rPr>
        <w:t>Azione 1</w:t>
      </w:r>
      <w:r>
        <w:rPr>
          <w:sz w:val="24"/>
          <w:szCs w:val="24"/>
        </w:rPr>
        <w:t>), il cui numero di studenti è più stabile di quello degli insegnamenti magistrali, il valore medio della soddisfazione complessiva è superiore a 8 sia per Biotecnologie che per Scienze Biologiche (</w:t>
      </w:r>
      <w:r>
        <w:rPr>
          <w:i/>
          <w:iCs/>
          <w:sz w:val="24"/>
          <w:szCs w:val="24"/>
        </w:rPr>
        <w:t>range</w:t>
      </w:r>
      <w:r>
        <w:rPr>
          <w:sz w:val="24"/>
          <w:szCs w:val="24"/>
        </w:rPr>
        <w:t>: 7.2 - 9). Ciò indica che l’azione promossa da BTBS è complessivamente efficace. Un’analisi più approfondita sarà possibile una volta acquisiti dati più completi sui risultati degli esami sostenuti dagli studenti di questi insegnamenti.</w:t>
      </w:r>
    </w:p>
    <w:p w14:paraId="1D47C804" w14:textId="77777777" w:rsidR="00A05C15" w:rsidRDefault="00865455">
      <w:pPr>
        <w:pStyle w:val="Titolo4"/>
        <w:keepNext w:val="0"/>
        <w:keepLines w:val="0"/>
        <w:spacing w:before="0" w:after="0" w:line="271" w:lineRule="auto"/>
        <w:ind w:left="1440" w:hanging="360"/>
        <w:jc w:val="both"/>
        <w:rPr>
          <w:sz w:val="22"/>
          <w:szCs w:val="22"/>
        </w:rPr>
      </w:pPr>
      <w:bookmarkStart w:id="8" w:name="_heading=h.9mtycei6jgia" w:colFirst="0" w:colLast="0"/>
      <w:bookmarkEnd w:id="8"/>
      <w:r>
        <w:rPr>
          <w:b w:val="0"/>
          <w:bCs w:val="0"/>
          <w:sz w:val="22"/>
          <w:szCs w:val="22"/>
        </w:rPr>
        <w:t>●</w:t>
      </w:r>
      <w:r>
        <w:rPr>
          <w:rFonts w:ascii="Times New Roman" w:eastAsia="Times New Roman" w:hAnsi="Times New Roman" w:cs="Times New Roman"/>
          <w:b w:val="0"/>
          <w:bCs w:val="0"/>
          <w:sz w:val="16"/>
          <w:szCs w:val="16"/>
        </w:rPr>
        <w:t xml:space="preserve">       </w:t>
      </w:r>
      <w:r>
        <w:rPr>
          <w:sz w:val="22"/>
          <w:szCs w:val="22"/>
        </w:rPr>
        <w:t>Sostenibilità</w:t>
      </w:r>
    </w:p>
    <w:p w14:paraId="65D100C4" w14:textId="77777777" w:rsidR="00A05C15" w:rsidRDefault="00865455">
      <w:pPr>
        <w:spacing w:before="240" w:after="240"/>
        <w:jc w:val="both"/>
        <w:rPr>
          <w:sz w:val="24"/>
          <w:szCs w:val="24"/>
        </w:rPr>
      </w:pPr>
      <w:r>
        <w:rPr>
          <w:b/>
          <w:bCs/>
          <w:i/>
          <w:iCs/>
          <w:sz w:val="24"/>
          <w:szCs w:val="24"/>
        </w:rPr>
        <w:t>Docenti e tutor</w:t>
      </w:r>
      <w:r>
        <w:rPr>
          <w:sz w:val="24"/>
          <w:szCs w:val="24"/>
        </w:rPr>
        <w:t xml:space="preserve">. Il corpo docente dei CdS afferenti al Dipartimento è adeguato, per numerosità e qualificazione, a sostenere le esigenze didattiche. In particolare, l’indicatore </w:t>
      </w:r>
      <w:r>
        <w:rPr>
          <w:b/>
          <w:bCs/>
          <w:sz w:val="24"/>
          <w:szCs w:val="24"/>
        </w:rPr>
        <w:t>iC05</w:t>
      </w:r>
      <w:r>
        <w:rPr>
          <w:sz w:val="24"/>
          <w:szCs w:val="24"/>
        </w:rPr>
        <w:t xml:space="preserve"> mostra che il numero dei docenti è adeguato a sostenere la didattica dei CdS, secondo la numerosità degli studenti appartenenti alle coorti in esame. I parametri </w:t>
      </w:r>
      <w:r>
        <w:rPr>
          <w:b/>
          <w:bCs/>
          <w:sz w:val="24"/>
          <w:szCs w:val="24"/>
        </w:rPr>
        <w:t>iC27</w:t>
      </w:r>
      <w:r>
        <w:rPr>
          <w:sz w:val="24"/>
          <w:szCs w:val="24"/>
        </w:rPr>
        <w:t xml:space="preserve"> e </w:t>
      </w:r>
      <w:r>
        <w:rPr>
          <w:b/>
          <w:bCs/>
          <w:sz w:val="24"/>
          <w:szCs w:val="24"/>
        </w:rPr>
        <w:t>iC28</w:t>
      </w:r>
      <w:r>
        <w:rPr>
          <w:sz w:val="24"/>
          <w:szCs w:val="24"/>
        </w:rPr>
        <w:t xml:space="preserve"> (rapporto studenti/docenti pesato per le ore di docenza, totale o calcolato per il I anno) sono in linea con i parametri di riferimento MUR e i valori dell’area geografica di riferimento, per tutti i nostri CdS.</w:t>
      </w:r>
    </w:p>
    <w:p w14:paraId="1E174BB4" w14:textId="77777777" w:rsidR="00A05C15" w:rsidRDefault="00865455">
      <w:pPr>
        <w:spacing w:before="240" w:after="240"/>
        <w:jc w:val="both"/>
        <w:rPr>
          <w:sz w:val="24"/>
          <w:szCs w:val="24"/>
        </w:rPr>
      </w:pPr>
      <w:r>
        <w:rPr>
          <w:sz w:val="24"/>
          <w:szCs w:val="24"/>
        </w:rPr>
        <w:t>Una conferma di queste conclusioni viene dai dati medi 2024-2025 delle Opinioni degli Studenti complessive per il nostro Dipartimento, con valutazioni molto positive dell’efficacia didattica e della soddisfazione complessiva, in linea o in crescita rispetto all’anno precedente. Inoltre, la valutazione degli aspetti organizzativi, più direttamente collegabili all’azione dipartimentale, risulta in costante miglioramento nel triennio (8.19 nel 2025; 8.14 nel 2024; 7.97 nel 2023).</w:t>
      </w:r>
    </w:p>
    <w:p w14:paraId="7EBFEC76" w14:textId="7F8CAA4D" w:rsidR="00033CAC" w:rsidRDefault="00865455">
      <w:pPr>
        <w:spacing w:before="240" w:after="240"/>
        <w:jc w:val="both"/>
        <w:rPr>
          <w:sz w:val="24"/>
          <w:szCs w:val="24"/>
        </w:rPr>
      </w:pPr>
      <w:r>
        <w:rPr>
          <w:sz w:val="24"/>
          <w:szCs w:val="24"/>
        </w:rPr>
        <w:t>Anche i docenti tutor risultano adeguati (in termini di numerosità e competenze) a sostenere l’attività di tutoraggio per gli studenti, come riportato nelle schede SUA.</w:t>
      </w:r>
    </w:p>
    <w:p w14:paraId="526E5384" w14:textId="79918A83" w:rsidR="00732E4B" w:rsidRPr="00434DB9" w:rsidRDefault="00732E4B">
      <w:pPr>
        <w:spacing w:before="240" w:after="240"/>
        <w:jc w:val="both"/>
        <w:rPr>
          <w:sz w:val="24"/>
          <w:szCs w:val="24"/>
        </w:rPr>
      </w:pPr>
      <w:r>
        <w:rPr>
          <w:sz w:val="24"/>
          <w:szCs w:val="24"/>
        </w:rPr>
        <w:t>Relativamente ai tutor associati agli insegnamenti (disciplinari e e-tutor), i CCD mettono a disposizione una quota parte del fondo di potenziamento della didattica. A</w:t>
      </w:r>
      <w:r w:rsidRPr="00732E4B">
        <w:rPr>
          <w:sz w:val="24"/>
          <w:szCs w:val="24"/>
        </w:rPr>
        <w:t>nnualmente (tipicamente tra aprile e maggio) i docenti interessati hanno la possibilità di chieder</w:t>
      </w:r>
      <w:r>
        <w:rPr>
          <w:sz w:val="24"/>
          <w:szCs w:val="24"/>
        </w:rPr>
        <w:t>n</w:t>
      </w:r>
      <w:r w:rsidRPr="00732E4B">
        <w:rPr>
          <w:sz w:val="24"/>
          <w:szCs w:val="24"/>
        </w:rPr>
        <w:t xml:space="preserve">e </w:t>
      </w:r>
      <w:r>
        <w:rPr>
          <w:sz w:val="24"/>
          <w:szCs w:val="24"/>
        </w:rPr>
        <w:t xml:space="preserve">l’attivazione </w:t>
      </w:r>
      <w:r w:rsidRPr="00732E4B">
        <w:rPr>
          <w:sz w:val="24"/>
          <w:szCs w:val="24"/>
        </w:rPr>
        <w:t xml:space="preserve">al CCD </w:t>
      </w:r>
      <w:r>
        <w:rPr>
          <w:sz w:val="24"/>
          <w:szCs w:val="24"/>
        </w:rPr>
        <w:t xml:space="preserve">per </w:t>
      </w:r>
      <w:r w:rsidRPr="00732E4B">
        <w:rPr>
          <w:sz w:val="24"/>
          <w:szCs w:val="24"/>
        </w:rPr>
        <w:t>l’anno accademico successivo</w:t>
      </w:r>
      <w:r>
        <w:rPr>
          <w:sz w:val="24"/>
          <w:szCs w:val="24"/>
        </w:rPr>
        <w:t xml:space="preserve">. Queste richieste vengono discusse collegialmente e </w:t>
      </w:r>
      <w:r w:rsidR="001C1314">
        <w:rPr>
          <w:sz w:val="24"/>
          <w:szCs w:val="24"/>
        </w:rPr>
        <w:t xml:space="preserve">documentate nei </w:t>
      </w:r>
      <w:r>
        <w:rPr>
          <w:sz w:val="24"/>
          <w:szCs w:val="24"/>
        </w:rPr>
        <w:t>verbali</w:t>
      </w:r>
      <w:r w:rsidR="001C1314">
        <w:rPr>
          <w:sz w:val="24"/>
          <w:szCs w:val="24"/>
        </w:rPr>
        <w:t xml:space="preserve"> de</w:t>
      </w:r>
      <w:r>
        <w:rPr>
          <w:sz w:val="24"/>
          <w:szCs w:val="24"/>
        </w:rPr>
        <w:t xml:space="preserve">i CCD.  </w:t>
      </w:r>
    </w:p>
    <w:p w14:paraId="23DF744A" w14:textId="77777777" w:rsidR="00A05C15" w:rsidRDefault="00865455">
      <w:pPr>
        <w:spacing w:before="240" w:after="240"/>
        <w:jc w:val="both"/>
        <w:rPr>
          <w:sz w:val="24"/>
          <w:szCs w:val="24"/>
        </w:rPr>
      </w:pPr>
      <w:r>
        <w:rPr>
          <w:b/>
          <w:bCs/>
          <w:i/>
          <w:iCs/>
          <w:sz w:val="24"/>
          <w:szCs w:val="24"/>
        </w:rPr>
        <w:t>Servizi e strutture di supporto alla didattica</w:t>
      </w:r>
      <w:r>
        <w:rPr>
          <w:sz w:val="24"/>
          <w:szCs w:val="24"/>
        </w:rPr>
        <w:t>. Non risultano a questo proposito punti critici di rilievo.</w:t>
      </w:r>
    </w:p>
    <w:p w14:paraId="4E7CF374" w14:textId="77777777" w:rsidR="00A05C15" w:rsidRDefault="00865455">
      <w:pPr>
        <w:jc w:val="both"/>
        <w:rPr>
          <w:i/>
          <w:iCs/>
          <w:sz w:val="24"/>
          <w:szCs w:val="24"/>
        </w:rPr>
      </w:pPr>
      <w:r>
        <w:rPr>
          <w:i/>
          <w:iCs/>
          <w:sz w:val="24"/>
          <w:szCs w:val="24"/>
        </w:rPr>
        <w:t>3.2 Osservazioni sul riesame ciclico e sulle azioni correttive previste dai CdS di cui il Dipartimento è referente principale.</w:t>
      </w:r>
    </w:p>
    <w:p w14:paraId="2A94884D" w14:textId="77777777" w:rsidR="00A05C15" w:rsidRDefault="00865455">
      <w:pPr>
        <w:spacing w:before="240" w:after="240"/>
        <w:jc w:val="both"/>
        <w:rPr>
          <w:sz w:val="24"/>
          <w:szCs w:val="24"/>
        </w:rPr>
      </w:pPr>
      <w:r>
        <w:rPr>
          <w:sz w:val="24"/>
          <w:szCs w:val="24"/>
        </w:rPr>
        <w:t>Gli ultimi Rapporti di Riesame Ciclico sono stati approvati dai CCD nel 2024 (Scienze Biologiche e Biologia) e nel 2025 (Biotecnologie e Biotecnologie Industriali). L’analisi di questi documenti e delle ultime SMA con i dati aggiornati (Sezione 3.1) mostra parametri nel complesso molto soddisfacenti per i CdS di I e II livello. Per di più, il potenziamento delle attività di orientamento coordinate dal Dipartimento nel triennio ha avuto il risultato di sostenere l’attrattività, già ottima, dei nostri CdS triennali (Azione 3) e sta contribuendo alla risalita dell’attrattività dei CdS magistrali (Azione 4).</w:t>
      </w:r>
    </w:p>
    <w:p w14:paraId="1F3DBFAD" w14:textId="77777777" w:rsidR="00A05C15" w:rsidRDefault="00865455">
      <w:pPr>
        <w:spacing w:before="240" w:after="240"/>
        <w:jc w:val="both"/>
        <w:rPr>
          <w:sz w:val="24"/>
          <w:szCs w:val="24"/>
        </w:rPr>
      </w:pPr>
      <w:r>
        <w:rPr>
          <w:sz w:val="24"/>
          <w:szCs w:val="24"/>
        </w:rPr>
        <w:t>Il principale punto critico comune a tutti i CdS resta il livello di internazionalizzazione. L’espansione del numero degli insegnamenti tenuti obbligatoriamente o facoltativamente in inglese, e le altre attività (Orientamento) previste dall’</w:t>
      </w:r>
      <w:r>
        <w:rPr>
          <w:i/>
          <w:iCs/>
          <w:sz w:val="24"/>
          <w:szCs w:val="24"/>
        </w:rPr>
        <w:t>Azione 9</w:t>
      </w:r>
      <w:r>
        <w:rPr>
          <w:sz w:val="24"/>
          <w:szCs w:val="24"/>
        </w:rPr>
        <w:t xml:space="preserve"> stanno favorendo la mobilità. L’andamento temporale dei flussi incoming e </w:t>
      </w:r>
      <w:proofErr w:type="spellStart"/>
      <w:r>
        <w:rPr>
          <w:sz w:val="24"/>
          <w:szCs w:val="24"/>
        </w:rPr>
        <w:t>outgoing</w:t>
      </w:r>
      <w:proofErr w:type="spellEnd"/>
      <w:r>
        <w:rPr>
          <w:sz w:val="24"/>
          <w:szCs w:val="24"/>
        </w:rPr>
        <w:t xml:space="preserve"> evidenzia come, a fronte di un consolidato raggiungimento del target per gli studenti in uscita, i dati in entrata mostrano un andamento meno stabile e soggetto a sensibili oscillazioni (si rimanda all'Azione 9 per i valori numeri). Questi risultati ci suggeriscono di proseguire nelle azioni mirate al miglioramento dell’internazionalizzazione nel prossimo futuro.</w:t>
      </w:r>
    </w:p>
    <w:p w14:paraId="1EEF1130" w14:textId="77777777" w:rsidR="00A05C15" w:rsidRDefault="00865455">
      <w:pPr>
        <w:jc w:val="both"/>
        <w:rPr>
          <w:sz w:val="24"/>
          <w:szCs w:val="24"/>
        </w:rPr>
      </w:pPr>
      <w:r>
        <w:rPr>
          <w:sz w:val="24"/>
          <w:szCs w:val="24"/>
        </w:rPr>
        <w:t>I Rapporti di Riesame Ciclico confermano anche la necessità di sviluppare la didattica innovativa e potenziare ulteriormente l’uso di metodologie E-learning, attività già programmata e in corso di svolgimento nel triennio 2023-2025 (</w:t>
      </w:r>
      <w:r>
        <w:rPr>
          <w:i/>
          <w:iCs/>
          <w:sz w:val="24"/>
          <w:szCs w:val="24"/>
        </w:rPr>
        <w:t>Azione 1</w:t>
      </w:r>
      <w:r>
        <w:rPr>
          <w:sz w:val="24"/>
          <w:szCs w:val="24"/>
        </w:rPr>
        <w:t xml:space="preserve"> e </w:t>
      </w:r>
      <w:r>
        <w:rPr>
          <w:i/>
          <w:iCs/>
          <w:sz w:val="24"/>
          <w:szCs w:val="24"/>
        </w:rPr>
        <w:t>Azione 2</w:t>
      </w:r>
      <w:r>
        <w:rPr>
          <w:sz w:val="24"/>
          <w:szCs w:val="24"/>
        </w:rPr>
        <w:t>). La Commissione dipartimentale per la didattica innovativa, istituita nel 2024, è entrata in azione nel corso del 2025, per promuovere e meglio coordinare queste azioni. L’effetto di questi interventi sarà progressivamente verificato nel prossimo triennio, mediante analisi delle Opinioni Studenti, dei risultati degli esami e dal confronto con la CPDS.</w:t>
      </w:r>
    </w:p>
    <w:p w14:paraId="547320E6" w14:textId="77777777" w:rsidR="00A05C15" w:rsidRDefault="00865455">
      <w:pPr>
        <w:ind w:left="360"/>
        <w:jc w:val="both"/>
        <w:rPr>
          <w:b/>
          <w:bCs/>
          <w:sz w:val="24"/>
          <w:szCs w:val="24"/>
        </w:rPr>
      </w:pPr>
      <w:r>
        <w:rPr>
          <w:b/>
          <w:bCs/>
          <w:sz w:val="24"/>
          <w:szCs w:val="24"/>
        </w:rPr>
        <w:t>4) Riesame del Piano Triennale Dipartimentale</w:t>
      </w:r>
    </w:p>
    <w:p w14:paraId="5FC1F5D0" w14:textId="77777777" w:rsidR="00A05C15" w:rsidRDefault="00865455">
      <w:pPr>
        <w:jc w:val="both"/>
        <w:rPr>
          <w:i/>
          <w:iCs/>
        </w:rPr>
      </w:pPr>
      <w:r>
        <w:rPr>
          <w:i/>
          <w:iCs/>
        </w:rPr>
        <w:t>Analizzare e motivare gli eventuali scostamenti rispetto agli obiettivi previsti nella programmazione triennale 2023-2025, indicando la validità o meno di alcuni obiettivi anche per il nuovo PTD.</w:t>
      </w:r>
    </w:p>
    <w:p w14:paraId="2F0019BC" w14:textId="77777777" w:rsidR="00A05C15" w:rsidRDefault="00865455">
      <w:pPr>
        <w:spacing w:before="240" w:after="240"/>
        <w:jc w:val="both"/>
      </w:pPr>
      <w:r>
        <w:t>Nel triennio 2023-2025 il Dipartimento ha attuato le linee strategiche previste dal Piano Triennale Dipartimentale con particolare riferimento alle attività di Ricerca e Terza Missione/Impatto Sociale, perseguendo un modello di sviluppo orientato alla qualità scientifica, all’impatto e alla sostenibilità delle azioni intraprese. Il riesame evidenzia come gli eventuali scostamenti rispetto agli obiettivi quantitativi inizialmente previsti siano riconducibili principalmente a fattori di contesto e non abbiano compromesso il raggiungimento degli obiettivi strategici di fondo, che risultano nel complesso pienamente validi e coerenti anche in prospettiva del nuovo PTD.</w:t>
      </w:r>
    </w:p>
    <w:p w14:paraId="31E80DBA" w14:textId="77777777" w:rsidR="00A05C15" w:rsidRDefault="00865455">
      <w:pPr>
        <w:pStyle w:val="Titolo3"/>
        <w:keepNext w:val="0"/>
        <w:keepLines w:val="0"/>
        <w:spacing w:before="0" w:after="0"/>
        <w:jc w:val="both"/>
        <w:rPr>
          <w:i/>
          <w:iCs/>
          <w:sz w:val="24"/>
          <w:szCs w:val="24"/>
        </w:rPr>
      </w:pPr>
      <w:bookmarkStart w:id="9" w:name="_heading=h.v7x9k3x6vxa" w:colFirst="0" w:colLast="0"/>
      <w:bookmarkEnd w:id="9"/>
      <w:r>
        <w:rPr>
          <w:i/>
          <w:iCs/>
          <w:sz w:val="24"/>
          <w:szCs w:val="24"/>
        </w:rPr>
        <w:t xml:space="preserve">Partecipazione a bandi competitivi e attrazione di finanziamenti </w:t>
      </w:r>
    </w:p>
    <w:p w14:paraId="2E63568A" w14:textId="77777777" w:rsidR="00A05C15" w:rsidRDefault="00865455">
      <w:pPr>
        <w:spacing w:after="0"/>
        <w:jc w:val="both"/>
      </w:pPr>
      <w:r>
        <w:t>Nel periodo considerato, il Dipartimento ha mantenuto un’elevata e costante attività di progettazione, testimoniata dall’ampio numero di proposte presentate su bandi competitivi nazionali e internazionali. Lo scostamento rispetto all’obiettivo di incremento percentuale delle domande presentate, così come definito nel PTD, è attribuibile principalmente alla riduzione delle opportunità di finanziamento disponibili rispetto al periodo di riferimento precedente, caratterizzato da un contesto eccezionale legato ai bandi PNRR.</w:t>
      </w:r>
    </w:p>
    <w:p w14:paraId="33FBA7ED" w14:textId="77777777" w:rsidR="00A05C15" w:rsidRDefault="00865455">
      <w:pPr>
        <w:spacing w:after="0"/>
        <w:jc w:val="both"/>
      </w:pPr>
      <w:r>
        <w:t>In questo quadro, il Dipartimento ha tuttavia dimostrato una solida capacità di posizionamento competitivo, ottenendo finanziamenti di importo rilevante e aggiudicandosi progetti di elevato prestigio scientifico, inclusi 3 progetti FIS e oltre 10 progetti europei, nonché un totale di 28 progetti e contratti con enti finanziatori internazionali per un ammontare di oltre 2 milioni di euro. Questo rappresenta un indicatore significativo della qualità delle proposte e della maturità scientifica delle linee di ricerca attive.</w:t>
      </w:r>
    </w:p>
    <w:p w14:paraId="586606FD" w14:textId="77777777" w:rsidR="00A05C15" w:rsidRDefault="00865455">
      <w:pPr>
        <w:spacing w:after="0"/>
        <w:jc w:val="both"/>
      </w:pPr>
      <w:r>
        <w:t>Lo scostamento osservato viene pertanto interpretato non come una riduzione dell’impegno progettuale, ma come una rimodulazione fisiologica in un contesto di maggiore selettività. In tale ottica, il Dipartimento ha avviato azioni correttive e di rafforzamento strutturale, tra cui l’attivazione di un supporto specialistico dedicato all’individuazione delle call più idonee e al miglioramento della qualità progettuale, con l’obiettivo di aumentare l’efficacia della partecipazione ai bandi nel prossimo ciclo di programmazione.</w:t>
      </w:r>
    </w:p>
    <w:p w14:paraId="0F36C305" w14:textId="125D3FBE" w:rsidR="00434DB9" w:rsidRPr="0036749B" w:rsidRDefault="00865455">
      <w:pPr>
        <w:pStyle w:val="Titolo3"/>
        <w:keepNext w:val="0"/>
        <w:keepLines w:val="0"/>
        <w:jc w:val="both"/>
        <w:rPr>
          <w:b w:val="0"/>
          <w:bCs w:val="0"/>
          <w:sz w:val="22"/>
          <w:szCs w:val="22"/>
        </w:rPr>
      </w:pPr>
      <w:r w:rsidRPr="0036749B">
        <w:rPr>
          <w:b w:val="0"/>
          <w:bCs w:val="0"/>
          <w:sz w:val="22"/>
          <w:szCs w:val="22"/>
        </w:rPr>
        <w:t>L’obiettivo di rafforzare la capacità di attrarre finanziamenti competitivi risulta pienamente valido anche per il nuovo PTD, con un’evoluzione degli indicatori di monitoraggio che tenga maggiormente conto non solo del numero di proposte presentate, ma anche della loro qualità, del tasso di successo e dell’impatto economico e scientifico dei progetti finanziati.</w:t>
      </w:r>
      <w:bookmarkStart w:id="10" w:name="_heading=h.u5woihvskwp8" w:colFirst="0" w:colLast="0"/>
      <w:bookmarkEnd w:id="10"/>
    </w:p>
    <w:p w14:paraId="42E44B0B" w14:textId="77777777" w:rsidR="00A05C15" w:rsidRDefault="00865455">
      <w:pPr>
        <w:pStyle w:val="Titolo3"/>
        <w:keepNext w:val="0"/>
        <w:keepLines w:val="0"/>
        <w:jc w:val="both"/>
        <w:rPr>
          <w:i/>
          <w:iCs/>
          <w:sz w:val="24"/>
          <w:szCs w:val="24"/>
        </w:rPr>
      </w:pPr>
      <w:r>
        <w:rPr>
          <w:i/>
          <w:iCs/>
          <w:sz w:val="24"/>
          <w:szCs w:val="24"/>
        </w:rPr>
        <w:t>Open Science e gestione dei dati della ricerca</w:t>
      </w:r>
    </w:p>
    <w:p w14:paraId="4B1FAFA0" w14:textId="77777777" w:rsidR="00A05C15" w:rsidRDefault="00865455">
      <w:pPr>
        <w:spacing w:after="0"/>
        <w:jc w:val="both"/>
      </w:pPr>
      <w:r>
        <w:t>Per quanto riguarda le azioni dedicate all’Open Science, il Dipartimento ha raggiunto gli obiettivi previsti nel PTD attraverso l’introduzione dei quaderni di laboratorio elettronici, che sono stati progressivamente adottati da una quota significativa del personale di ricerca.</w:t>
      </w:r>
    </w:p>
    <w:p w14:paraId="19A163AB" w14:textId="77777777" w:rsidR="00A05C15" w:rsidRDefault="00865455">
      <w:pPr>
        <w:spacing w:after="0"/>
        <w:jc w:val="both"/>
      </w:pPr>
      <w:r>
        <w:t>Questa iniziativa ha rappresentato un passaggio strategico verso la digitalizzazione delle pratiche di laboratorio, migliorando la tracciabilità delle attività sperimentali, la qualità dell’archiviazione dei dati e l’allineamento ai principi FAIR. L’obiettivo previsto per il triennio può pertanto considerarsi conseguito e costituisce una base solida per ulteriori sviluppi nell’ambito dell’Open Science.</w:t>
      </w:r>
    </w:p>
    <w:p w14:paraId="5F796917" w14:textId="77777777" w:rsidR="00A05C15" w:rsidRDefault="00865455">
      <w:pPr>
        <w:pStyle w:val="Titolo3"/>
        <w:keepNext w:val="0"/>
        <w:keepLines w:val="0"/>
        <w:jc w:val="both"/>
        <w:rPr>
          <w:i/>
          <w:iCs/>
          <w:sz w:val="24"/>
          <w:szCs w:val="24"/>
        </w:rPr>
      </w:pPr>
      <w:bookmarkStart w:id="11" w:name="_heading=h.nu6je85gzoim" w:colFirst="0" w:colLast="0"/>
      <w:bookmarkEnd w:id="11"/>
      <w:r>
        <w:rPr>
          <w:i/>
          <w:iCs/>
          <w:sz w:val="24"/>
          <w:szCs w:val="24"/>
        </w:rPr>
        <w:t>Attività di Terza Missione e Public Engagement</w:t>
      </w:r>
    </w:p>
    <w:p w14:paraId="4FC18C9E" w14:textId="77777777" w:rsidR="00A05C15" w:rsidRDefault="00865455">
      <w:pPr>
        <w:spacing w:after="0"/>
        <w:jc w:val="both"/>
        <w:rPr>
          <w:sz w:val="24"/>
          <w:szCs w:val="24"/>
        </w:rPr>
      </w:pPr>
      <w:r>
        <w:rPr>
          <w:sz w:val="24"/>
          <w:szCs w:val="24"/>
        </w:rPr>
        <w:t>Nel triennio il Dipartimento ha registrato un rafforzamento significativo delle attività di Terza Missione, con una crescita costante e diversificata delle iniziative di Public Engagement. Le attività realizzate hanno coperto un ampio spettro di formati e destinatari, includendo iniziative di divulgazione scientifica, orientamento, formazione continua, co-produzione di conoscenza e partecipazione a eventi di rilevanza nazionale e internazionale.</w:t>
      </w:r>
    </w:p>
    <w:p w14:paraId="4F3C6D81" w14:textId="77777777" w:rsidR="00A05C15" w:rsidRDefault="00865455">
      <w:pPr>
        <w:spacing w:after="0"/>
        <w:jc w:val="both"/>
        <w:rPr>
          <w:sz w:val="24"/>
          <w:szCs w:val="24"/>
        </w:rPr>
      </w:pPr>
      <w:r>
        <w:rPr>
          <w:sz w:val="24"/>
          <w:szCs w:val="24"/>
        </w:rPr>
        <w:t>La varietà delle azioni intraprese e l’ampiezza dei pubblici coinvolti testimoniano la piena attuazione degli obiettivi previsti dal PTD, nonché una progressiva maturazione del Dipartimento nella capacità di integrare la Terza Missione come componente strutturale delle proprie attività. In questo ambito non si rilevano scostamenti negativi rispetto alla programmazione, bensì un consolidamento e un ampliamento delle azioni previste.</w:t>
      </w:r>
    </w:p>
    <w:p w14:paraId="5C41BB1D" w14:textId="77777777" w:rsidR="00A05C15" w:rsidRDefault="00865455">
      <w:pPr>
        <w:spacing w:after="0"/>
        <w:jc w:val="both"/>
        <w:rPr>
          <w:sz w:val="24"/>
          <w:szCs w:val="24"/>
        </w:rPr>
      </w:pPr>
      <w:r>
        <w:rPr>
          <w:sz w:val="24"/>
          <w:szCs w:val="24"/>
        </w:rPr>
        <w:t>L’obiettivo di rafforzare il Public Engagement risulta pertanto pienamente valido e strategico anche per il nuovo PTD, con la prospettiva di sviluppare ulteriormente strumenti di monitoraggio dell’impatto e di valorizzazione delle ricadute scientifiche, culturali e sociali delle iniziative realizzate.</w:t>
      </w:r>
    </w:p>
    <w:p w14:paraId="60B42BCA" w14:textId="77777777" w:rsidR="00A05C15" w:rsidRDefault="00A05C15">
      <w:pPr>
        <w:spacing w:after="0"/>
        <w:jc w:val="both"/>
        <w:rPr>
          <w:sz w:val="24"/>
          <w:szCs w:val="24"/>
        </w:rPr>
      </w:pPr>
    </w:p>
    <w:p w14:paraId="7B00BF91" w14:textId="77777777" w:rsidR="00A05C15" w:rsidRDefault="00865455">
      <w:pPr>
        <w:spacing w:after="0"/>
        <w:jc w:val="both"/>
        <w:rPr>
          <w:sz w:val="24"/>
          <w:szCs w:val="24"/>
        </w:rPr>
      </w:pPr>
      <w:r>
        <w:rPr>
          <w:sz w:val="24"/>
          <w:szCs w:val="24"/>
        </w:rPr>
        <w:t>Nel complesso, il riesame del Piano Triennale Dipartimentale 2023-2025 evidenzia una coerenza sostanziale tra obiettivi programmati e azioni realizzate, con scostamenti limitati e motivati da fattori esterni al Dipartimento. Tali scostamenti sono stati affrontati attraverso interventi correttivi orientati al miglioramento dell’efficacia organizzativa e della qualità delle attività, rafforzando le basi per la programmazione futura.</w:t>
      </w:r>
    </w:p>
    <w:p w14:paraId="66C2200D" w14:textId="77777777" w:rsidR="00A05C15" w:rsidRDefault="00A05C15">
      <w:pPr>
        <w:jc w:val="both"/>
        <w:rPr>
          <w:i/>
          <w:iCs/>
        </w:rPr>
      </w:pPr>
    </w:p>
    <w:sectPr w:rsidR="00A05C15">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FA09A901-11D8-43D5-9F09-08B49771BCB7}"/>
    <w:embedBold r:id="rId2" w:fontKey="{6524DA0F-BF14-4C3C-ABBF-2423CE5B365F}"/>
    <w:embedItalic r:id="rId3" w:fontKey="{88907340-EC36-46D3-8DFE-6865F3B48264}"/>
    <w:embedBoldItalic r:id="rId4" w:fontKey="{7AB53439-08A1-4D66-8F8F-4C59FD0408A1}"/>
  </w:font>
  <w:font w:name="Segoe UI">
    <w:panose1 w:val="020B0502040204020203"/>
    <w:charset w:val="00"/>
    <w:family w:val="swiss"/>
    <w:pitch w:val="variable"/>
    <w:sig w:usb0="E4002EFF" w:usb1="C000E47F" w:usb2="00000009" w:usb3="00000000" w:csb0="000001FF" w:csb1="00000000"/>
    <w:embedRegular r:id="rId5" w:fontKey="{CA59FF59-52F3-4F43-B2D9-EC50C96175C8}"/>
  </w:font>
  <w:font w:name="Georgia">
    <w:panose1 w:val="02040502050405020303"/>
    <w:charset w:val="00"/>
    <w:family w:val="roman"/>
    <w:pitch w:val="variable"/>
    <w:sig w:usb0="00000287" w:usb1="00000000" w:usb2="00000000" w:usb3="00000000" w:csb0="0000009F" w:csb1="00000000"/>
    <w:embedItalic r:id="rId6" w:fontKey="{9B22643D-A368-4089-86F5-E92B25584E80}"/>
  </w:font>
  <w:font w:name="Roboto">
    <w:charset w:val="00"/>
    <w:family w:val="auto"/>
    <w:pitch w:val="default"/>
    <w:embedRegular r:id="rId7" w:fontKey="{D7D54E9E-B7C8-44EC-AB22-1D0CE6F9BF62}"/>
  </w:font>
  <w:font w:name="Verdana">
    <w:panose1 w:val="020B0604030504040204"/>
    <w:charset w:val="00"/>
    <w:family w:val="swiss"/>
    <w:pitch w:val="variable"/>
    <w:sig w:usb0="A00006FF" w:usb1="4000205B" w:usb2="00000010" w:usb3="00000000" w:csb0="0000019F" w:csb1="00000000"/>
    <w:embedRegular r:id="rId8" w:fontKey="{C056CB23-8288-44D4-9D66-2F2A69EE5D68}"/>
    <w:embedBold r:id="rId9" w:fontKey="{46BFE67B-5996-4066-8D25-DD67F2539604}"/>
  </w:font>
  <w:font w:name="Garamond">
    <w:panose1 w:val="02020404030301010803"/>
    <w:charset w:val="00"/>
    <w:family w:val="roman"/>
    <w:pitch w:val="variable"/>
    <w:sig w:usb0="00000287" w:usb1="00000000" w:usb2="00000000" w:usb3="00000000" w:csb0="0000009F" w:csb1="00000000"/>
    <w:embedBold r:id="rId10" w:fontKey="{E9FB94F7-ECB3-48E9-8DF6-E1BA71072D6C}"/>
  </w:font>
  <w:font w:name="Calibri Light">
    <w:panose1 w:val="020F0302020204030204"/>
    <w:charset w:val="00"/>
    <w:family w:val="swiss"/>
    <w:pitch w:val="variable"/>
    <w:sig w:usb0="E4002EFF" w:usb1="C000247B" w:usb2="00000009" w:usb3="00000000" w:csb0="000001FF" w:csb1="00000000"/>
    <w:embedRegular r:id="rId11" w:fontKey="{A3455B96-EC58-4B62-9627-0BDA7712BBD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757760"/>
    <w:multiLevelType w:val="multilevel"/>
    <w:tmpl w:val="EB1E5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F57792B"/>
    <w:multiLevelType w:val="multilevel"/>
    <w:tmpl w:val="8E422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0707DE"/>
    <w:multiLevelType w:val="multilevel"/>
    <w:tmpl w:val="0EF2B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5848E9"/>
    <w:multiLevelType w:val="multilevel"/>
    <w:tmpl w:val="89341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20"/>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C15"/>
    <w:rsid w:val="00033CAC"/>
    <w:rsid w:val="00033CFF"/>
    <w:rsid w:val="00172630"/>
    <w:rsid w:val="001C1314"/>
    <w:rsid w:val="00204E31"/>
    <w:rsid w:val="002E6083"/>
    <w:rsid w:val="0036749B"/>
    <w:rsid w:val="0038032C"/>
    <w:rsid w:val="003A6070"/>
    <w:rsid w:val="00434DB9"/>
    <w:rsid w:val="0059614D"/>
    <w:rsid w:val="006A7282"/>
    <w:rsid w:val="00725FCE"/>
    <w:rsid w:val="00732E4B"/>
    <w:rsid w:val="00865455"/>
    <w:rsid w:val="008D49C0"/>
    <w:rsid w:val="00A05C15"/>
    <w:rsid w:val="00D157E0"/>
    <w:rsid w:val="00D2098F"/>
    <w:rsid w:val="00D25F46"/>
    <w:rsid w:val="00FA1581"/>
    <w:rsid w:val="00FA7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8917F"/>
  <w15:docId w15:val="{FD448ECA-4623-47B5-B532-D96F4A640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unhideWhenUsed/>
    <w:qFormat/>
    <w:pPr>
      <w:keepNext/>
      <w:keepLines/>
      <w:spacing w:before="360" w:after="80"/>
      <w:outlineLvl w:val="1"/>
    </w:pPr>
    <w:rPr>
      <w:b/>
      <w:bCs/>
      <w:sz w:val="36"/>
      <w:szCs w:val="36"/>
    </w:rPr>
  </w:style>
  <w:style w:type="paragraph" w:styleId="Titolo3">
    <w:name w:val="heading 3"/>
    <w:basedOn w:val="Normale"/>
    <w:next w:val="Normale"/>
    <w:uiPriority w:val="9"/>
    <w:unhideWhenUsed/>
    <w:qFormat/>
    <w:pPr>
      <w:keepNext/>
      <w:keepLines/>
      <w:spacing w:before="280" w:after="80"/>
      <w:outlineLvl w:val="2"/>
    </w:pPr>
    <w:rPr>
      <w:b/>
      <w:bCs/>
      <w:sz w:val="28"/>
      <w:szCs w:val="28"/>
    </w:rPr>
  </w:style>
  <w:style w:type="paragraph" w:styleId="Titolo4">
    <w:name w:val="heading 4"/>
    <w:basedOn w:val="Normale"/>
    <w:next w:val="Normale"/>
    <w:uiPriority w:val="9"/>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paragraph" w:styleId="Paragrafoelenco">
    <w:name w:val="List Paragraph"/>
    <w:uiPriority w:val="34"/>
    <w:qFormat/>
    <w:rsid w:val="00E557E5"/>
    <w:pPr>
      <w:ind w:left="720"/>
      <w:contextualSpacing/>
    </w:pPr>
  </w:style>
  <w:style w:type="paragraph" w:styleId="Testofumetto">
    <w:name w:val="Balloon Text"/>
    <w:link w:val="TestofumettoCarattere"/>
    <w:uiPriority w:val="99"/>
    <w:semiHidden/>
    <w:unhideWhenUsed/>
    <w:rsid w:val="002F431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F4315"/>
    <w:rPr>
      <w:rFonts w:ascii="Segoe UI" w:hAnsi="Segoe UI" w:cs="Segoe UI"/>
      <w:sz w:val="18"/>
      <w:szCs w:val="18"/>
    </w:rPr>
  </w:style>
  <w:style w:type="character" w:styleId="Rimandocommento">
    <w:name w:val="annotation reference"/>
    <w:basedOn w:val="Carpredefinitoparagrafo"/>
    <w:uiPriority w:val="99"/>
    <w:semiHidden/>
    <w:unhideWhenUsed/>
    <w:rsid w:val="00C531AC"/>
    <w:rPr>
      <w:sz w:val="16"/>
      <w:szCs w:val="16"/>
    </w:rPr>
  </w:style>
  <w:style w:type="paragraph" w:styleId="Testocommento">
    <w:name w:val="annotation text"/>
    <w:link w:val="TestocommentoCarattere"/>
    <w:uiPriority w:val="99"/>
    <w:semiHidden/>
    <w:unhideWhenUsed/>
    <w:rsid w:val="00C531A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C531AC"/>
    <w:rPr>
      <w:sz w:val="20"/>
      <w:szCs w:val="20"/>
    </w:rPr>
  </w:style>
  <w:style w:type="paragraph" w:styleId="Soggettocommento">
    <w:name w:val="annotation subject"/>
    <w:basedOn w:val="Testocommento"/>
    <w:next w:val="Testocommento"/>
    <w:link w:val="SoggettocommentoCarattere"/>
    <w:uiPriority w:val="99"/>
    <w:semiHidden/>
    <w:unhideWhenUsed/>
    <w:rsid w:val="00C531AC"/>
    <w:rPr>
      <w:b/>
      <w:bCs/>
    </w:rPr>
  </w:style>
  <w:style w:type="character" w:customStyle="1" w:styleId="SoggettocommentoCarattere">
    <w:name w:val="Soggetto commento Carattere"/>
    <w:basedOn w:val="TestocommentoCarattere"/>
    <w:link w:val="Soggettocommento"/>
    <w:uiPriority w:val="99"/>
    <w:semiHidden/>
    <w:rsid w:val="00C531AC"/>
    <w:rPr>
      <w:b/>
      <w:bCs/>
      <w:sz w:val="20"/>
      <w:szCs w:val="20"/>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n05ORwozOBOqSurtSNWoVofR8w==">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10400</Words>
  <Characters>59286</Characters>
  <Application>Microsoft Office Word</Application>
  <DocSecurity>0</DocSecurity>
  <Lines>494</Lines>
  <Paragraphs>139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sara.colombo@unimib.it</dc:creator>
  <cp:lastModifiedBy>francesca.granucci@unimib.it</cp:lastModifiedBy>
  <cp:revision>3</cp:revision>
  <dcterms:created xsi:type="dcterms:W3CDTF">2026-03-25T13:48:00Z</dcterms:created>
  <dcterms:modified xsi:type="dcterms:W3CDTF">2026-03-25T15:09:00Z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0x0101008936156CFAB8EB4097F55FD5024A7501</vt:lpwstr>
  </property>
</Properties>
</file>